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147C" w14:textId="68961E69" w:rsidR="006700CA" w:rsidRDefault="00021C53" w:rsidP="00F37E0F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EF2CA0" wp14:editId="768FEB4F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9A3FE" w14:textId="77777777" w:rsidR="00F37E0F" w:rsidRDefault="00F37E0F" w:rsidP="00F37E0F">
      <w:pPr>
        <w:rPr>
          <w:noProof/>
          <w:u w:val="single"/>
        </w:rPr>
      </w:pPr>
    </w:p>
    <w:p w14:paraId="24B7BEE0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38226B72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1B80C69D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476FD209" w14:textId="1607361C" w:rsidR="00783817" w:rsidRPr="002E4BC0" w:rsidRDefault="00783817" w:rsidP="00783817">
      <w:pPr>
        <w:pStyle w:val="berschrift3"/>
        <w:tabs>
          <w:tab w:val="right" w:pos="9356"/>
        </w:tabs>
        <w:rPr>
          <w:szCs w:val="22"/>
          <w:lang w:val="en-US"/>
        </w:rPr>
      </w:pPr>
      <w:r w:rsidRPr="002E4BC0">
        <w:rPr>
          <w:noProof/>
          <w:u w:val="single"/>
          <w:lang w:val="en-US"/>
        </w:rPr>
        <w:t>Comunicado de imprensa</w:t>
      </w:r>
      <w:r w:rsidRPr="002E4BC0">
        <w:rPr>
          <w:szCs w:val="22"/>
          <w:lang w:val="en-US"/>
        </w:rPr>
        <w:t xml:space="preserve"> </w:t>
      </w:r>
      <w:r w:rsidRPr="002E4BC0">
        <w:rPr>
          <w:szCs w:val="22"/>
          <w:lang w:val="en-US"/>
        </w:rPr>
        <w:tab/>
      </w:r>
      <w:r w:rsidRPr="002E4BC0">
        <w:rPr>
          <w:b w:val="0"/>
          <w:sz w:val="22"/>
          <w:szCs w:val="22"/>
          <w:lang w:val="en-US"/>
        </w:rPr>
        <w:t>Sulz am Neckar, junho 2019</w:t>
      </w:r>
    </w:p>
    <w:p w14:paraId="427A187A" w14:textId="77777777" w:rsidR="002E6D66" w:rsidRPr="002E4BC0" w:rsidRDefault="002E6D66" w:rsidP="00DE4BEA">
      <w:pPr>
        <w:rPr>
          <w:rFonts w:cs="Arial"/>
          <w:sz w:val="22"/>
          <w:szCs w:val="22"/>
          <w:lang w:val="en-US"/>
        </w:rPr>
      </w:pPr>
    </w:p>
    <w:p w14:paraId="6109D117" w14:textId="77777777" w:rsidR="002E6D66" w:rsidRPr="002E4BC0" w:rsidRDefault="002E6D66" w:rsidP="00DE4BEA">
      <w:pPr>
        <w:rPr>
          <w:rFonts w:cs="Arial"/>
          <w:sz w:val="22"/>
          <w:szCs w:val="22"/>
          <w:lang w:val="en-US"/>
        </w:rPr>
      </w:pPr>
    </w:p>
    <w:p w14:paraId="1BEB4635" w14:textId="77777777" w:rsidR="0075737F" w:rsidRPr="002E4BC0" w:rsidRDefault="0075737F" w:rsidP="0075737F">
      <w:pPr>
        <w:pStyle w:val="berschrift1"/>
        <w:rPr>
          <w:lang w:val="en-US"/>
        </w:rPr>
      </w:pPr>
      <w:r w:rsidRPr="002E4BC0">
        <w:rPr>
          <w:lang w:val="en-US"/>
        </w:rPr>
        <w:t>A chave para mais segurança: manípulos com chave da KIPP</w:t>
      </w:r>
    </w:p>
    <w:p w14:paraId="157B3C34" w14:textId="77777777" w:rsidR="00620649" w:rsidRPr="002E4BC0" w:rsidRDefault="00620649" w:rsidP="003C27D8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</w:p>
    <w:p w14:paraId="64A0143B" w14:textId="1926E253" w:rsidR="0075737F" w:rsidRPr="002E4BC0" w:rsidRDefault="0075737F" w:rsidP="0075737F">
      <w:pPr>
        <w:spacing w:line="36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Manípulos e botões da KIPP servem para fixação e travamento manual. </w:t>
      </w:r>
      <w:r w:rsidRPr="002E4BC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Eles são aplicáveis no setor de engenharia mecânica, produção de ferramentas, construção de equipamentos assim </w:t>
      </w:r>
      <w:proofErr w:type="gramStart"/>
      <w:r w:rsidRPr="002E4BC0">
        <w:rPr>
          <w:rFonts w:cs="Arial"/>
          <w:b/>
          <w:bCs/>
          <w:color w:val="000000" w:themeColor="text1"/>
          <w:sz w:val="22"/>
          <w:szCs w:val="22"/>
          <w:lang w:val="en-US"/>
        </w:rPr>
        <w:t>como</w:t>
      </w:r>
      <w:proofErr w:type="gramEnd"/>
      <w:r w:rsidRPr="002E4BC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em aparelhos de teste e medicinais. Principalmente nos setores relevantes de segurança, estes elementos com chave marcam ponto</w:t>
      </w:r>
      <w:proofErr w:type="gramStart"/>
      <w:r w:rsidRPr="002E4BC0">
        <w:rPr>
          <w:rFonts w:cs="Arial"/>
          <w:b/>
          <w:bCs/>
          <w:color w:val="000000" w:themeColor="text1"/>
          <w:sz w:val="22"/>
          <w:szCs w:val="22"/>
          <w:lang w:val="en-US"/>
        </w:rPr>
        <w:t>,  impedindo</w:t>
      </w:r>
      <w:proofErr w:type="gramEnd"/>
      <w:r w:rsidRPr="002E4BC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o desprendimento acidental da conexão roscada. </w:t>
      </w:r>
    </w:p>
    <w:p w14:paraId="1EAE543E" w14:textId="77777777" w:rsidR="00426264" w:rsidRPr="002E4BC0" w:rsidRDefault="00426264" w:rsidP="00071E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09F06B2" w14:textId="6C875C2C" w:rsidR="0075737F" w:rsidRPr="002E4BC0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2E4BC0">
        <w:rPr>
          <w:rFonts w:cs="Arial"/>
          <w:bCs/>
          <w:color w:val="000000" w:themeColor="text1"/>
          <w:sz w:val="22"/>
          <w:szCs w:val="22"/>
          <w:lang w:val="en-US"/>
        </w:rPr>
        <w:t xml:space="preserve">A KIPP ampliou a sua linha de produtos com manípulos cinco estrela </w:t>
      </w:r>
      <w:proofErr w:type="gramStart"/>
      <w:r w:rsidRPr="002E4BC0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2E4BC0">
        <w:rPr>
          <w:rFonts w:cs="Arial"/>
          <w:bCs/>
          <w:color w:val="000000" w:themeColor="text1"/>
          <w:sz w:val="22"/>
          <w:szCs w:val="22"/>
          <w:lang w:val="en-US"/>
        </w:rPr>
        <w:t xml:space="preserve"> versão com chave, adequados para aplicação na fabricação ou construção de aparelhos. Além disso, os manípulos com chave podem ser utilizados também </w:t>
      </w:r>
      <w:proofErr w:type="gramStart"/>
      <w:r w:rsidRPr="002E4BC0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2E4BC0">
        <w:rPr>
          <w:rFonts w:cs="Arial"/>
          <w:bCs/>
          <w:color w:val="000000" w:themeColor="text1"/>
          <w:sz w:val="22"/>
          <w:szCs w:val="22"/>
          <w:lang w:val="en-US"/>
        </w:rPr>
        <w:t xml:space="preserve"> indústria de embalagem, em máquinas especiais e na fabricação de ferramentas. Os manípulos em si são fabricados de termoplástico, as peças de aço são passivadas </w:t>
      </w:r>
      <w:proofErr w:type="gramStart"/>
      <w:r w:rsidRPr="002E4BC0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2E4BC0">
        <w:rPr>
          <w:rFonts w:cs="Arial"/>
          <w:bCs/>
          <w:color w:val="000000" w:themeColor="text1"/>
          <w:sz w:val="22"/>
          <w:szCs w:val="22"/>
          <w:lang w:val="en-US"/>
        </w:rPr>
        <w:t xml:space="preserve"> cor azul e o cilindro é composto de Zamak. Esta combinação de material garante uma resistência térmica de até 100 °C. </w:t>
      </w:r>
    </w:p>
    <w:p w14:paraId="6FD091BC" w14:textId="77777777" w:rsidR="0075737F" w:rsidRPr="002E4BC0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2F73C68B" w14:textId="0AC05D74" w:rsidR="0075737F" w:rsidRPr="002E4BC0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2E4BC0">
        <w:rPr>
          <w:rFonts w:cs="Arial"/>
          <w:bCs/>
          <w:color w:val="000000" w:themeColor="text1"/>
          <w:sz w:val="22"/>
          <w:szCs w:val="22"/>
          <w:lang w:val="en-US"/>
        </w:rPr>
        <w:t xml:space="preserve">Os manípulos cinco estrela com chave podem ser adquiridos com rosca fêmea- e macho nos tamanhos M8 e M10. Além destes tamanhos, a KIPP oferece a versão M6 com rosca fêmea. As roscas macho possuem 20 mm de comprimento. O fornecimento contém duas chaves, que podem ser retiradas em ambas as posições (aberta e fechada). Já que os manípulos cinco estrela com chave possuem fechos iguais, é possível abrir e fechar vários manípulos com a mesma chave, facilitando o manuseio diariamente.  Você pode obter variantes de cilindros ou roscas diferentes sob consulta. </w:t>
      </w:r>
    </w:p>
    <w:p w14:paraId="293D15D2" w14:textId="76C7DF14" w:rsidR="00A04748" w:rsidRPr="002E4BC0" w:rsidRDefault="0010397C" w:rsidP="00650F3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2E4BC0">
        <w:rPr>
          <w:rFonts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6F4DB67E" w14:textId="77777777" w:rsidR="00D91134" w:rsidRPr="002E4BC0" w:rsidRDefault="00D91134" w:rsidP="00D91134">
      <w:pPr>
        <w:pStyle w:val="Pressetext"/>
        <w:rPr>
          <w:lang w:val="en-US"/>
        </w:rPr>
      </w:pPr>
    </w:p>
    <w:p w14:paraId="135EF0D8" w14:textId="77777777" w:rsidR="00D91134" w:rsidRPr="002E4BC0" w:rsidRDefault="00D91134" w:rsidP="00D91134">
      <w:pPr>
        <w:rPr>
          <w:rFonts w:cs="Arial"/>
          <w:sz w:val="20"/>
          <w:u w:val="single"/>
          <w:lang w:val="en-US"/>
        </w:rPr>
      </w:pPr>
      <w:r w:rsidRPr="002E4BC0">
        <w:rPr>
          <w:rFonts w:cs="Arial"/>
          <w:sz w:val="20"/>
          <w:u w:val="single"/>
          <w:lang w:val="en-US"/>
        </w:rPr>
        <w:t>Caracteres com espaços:</w:t>
      </w:r>
    </w:p>
    <w:p w14:paraId="08606C20" w14:textId="0F9B010A" w:rsidR="00D91134" w:rsidRPr="002E4BC0" w:rsidRDefault="002E4BC0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2E4BC0">
        <w:rPr>
          <w:rFonts w:cs="Arial"/>
          <w:sz w:val="20"/>
          <w:lang w:val="en-US"/>
        </w:rPr>
        <w:t>Headline:</w:t>
      </w:r>
      <w:r w:rsidRPr="002E4BC0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56</w:t>
      </w:r>
      <w:r w:rsidR="00D91134" w:rsidRPr="002E4BC0">
        <w:rPr>
          <w:rFonts w:cs="Arial"/>
          <w:sz w:val="20"/>
          <w:lang w:val="en-US"/>
        </w:rPr>
        <w:t xml:space="preserve"> caracteres</w:t>
      </w:r>
    </w:p>
    <w:p w14:paraId="7620AC69" w14:textId="7C307D56" w:rsidR="00D91134" w:rsidRPr="002E4BC0" w:rsidRDefault="002E4BC0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Texto:</w:t>
      </w:r>
      <w:r>
        <w:rPr>
          <w:rFonts w:cs="Arial"/>
          <w:sz w:val="20"/>
          <w:lang w:val="en-US"/>
        </w:rPr>
        <w:tab/>
        <w:t>1.430</w:t>
      </w:r>
      <w:r w:rsidR="00D91134" w:rsidRPr="002E4BC0">
        <w:rPr>
          <w:rFonts w:cs="Arial"/>
          <w:sz w:val="20"/>
          <w:lang w:val="en-US"/>
        </w:rPr>
        <w:t xml:space="preserve"> caracteres</w:t>
      </w:r>
    </w:p>
    <w:p w14:paraId="5E833F77" w14:textId="758D7BB5" w:rsidR="00D91134" w:rsidRPr="002E4BC0" w:rsidRDefault="002E4BC0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1.486</w:t>
      </w:r>
      <w:bookmarkStart w:id="0" w:name="_GoBack"/>
      <w:bookmarkEnd w:id="0"/>
      <w:r w:rsidR="00D91134" w:rsidRPr="002E4BC0">
        <w:rPr>
          <w:rFonts w:cs="Arial"/>
          <w:sz w:val="20"/>
          <w:lang w:val="en-US"/>
        </w:rPr>
        <w:t xml:space="preserve"> caracteres</w:t>
      </w:r>
    </w:p>
    <w:p w14:paraId="6C2693DE" w14:textId="77777777" w:rsidR="00D91134" w:rsidRPr="002E4BC0" w:rsidRDefault="00D91134" w:rsidP="00D91134">
      <w:pPr>
        <w:rPr>
          <w:rFonts w:cs="Arial"/>
          <w:sz w:val="20"/>
          <w:lang w:val="en-US"/>
        </w:rPr>
      </w:pPr>
    </w:p>
    <w:p w14:paraId="342068C2" w14:textId="62078C94" w:rsidR="00C661D5" w:rsidRPr="002E4BC0" w:rsidRDefault="00C661D5">
      <w:pPr>
        <w:rPr>
          <w:rFonts w:eastAsia="Times"/>
          <w:sz w:val="22"/>
          <w:szCs w:val="20"/>
          <w:lang w:val="en-US"/>
        </w:rPr>
      </w:pPr>
      <w:r w:rsidRPr="002E4BC0">
        <w:rPr>
          <w:lang w:val="en-US"/>
        </w:rPr>
        <w:br w:type="page"/>
      </w:r>
    </w:p>
    <w:p w14:paraId="56A8F19D" w14:textId="77777777" w:rsidR="00D91134" w:rsidRPr="002E4BC0" w:rsidRDefault="00D91134" w:rsidP="00D91134">
      <w:pPr>
        <w:pStyle w:val="Pressetext"/>
        <w:rPr>
          <w:lang w:val="en-US"/>
        </w:rPr>
      </w:pPr>
    </w:p>
    <w:p w14:paraId="5A5FB85C" w14:textId="77777777" w:rsidR="00D91134" w:rsidRPr="002E4BC0" w:rsidRDefault="00D91134" w:rsidP="00D91134">
      <w:pPr>
        <w:rPr>
          <w:rFonts w:cs="Arial"/>
          <w:sz w:val="20"/>
          <w:lang w:val="en-US"/>
        </w:rPr>
      </w:pPr>
      <w:r w:rsidRPr="002E4BC0">
        <w:rPr>
          <w:rFonts w:cs="Arial"/>
          <w:sz w:val="20"/>
          <w:lang w:val="en-US"/>
        </w:rPr>
        <w:t>HEINRICH KIPP WERK KG</w:t>
      </w:r>
    </w:p>
    <w:p w14:paraId="2530921E" w14:textId="77777777" w:rsidR="00D91134" w:rsidRPr="002E4BC0" w:rsidRDefault="00D91134" w:rsidP="00D91134">
      <w:pPr>
        <w:rPr>
          <w:rFonts w:cs="Arial"/>
          <w:sz w:val="20"/>
          <w:lang w:val="en-US"/>
        </w:rPr>
      </w:pPr>
      <w:r w:rsidRPr="002E4BC0">
        <w:rPr>
          <w:rFonts w:cs="Arial"/>
          <w:sz w:val="20"/>
          <w:lang w:val="en-US"/>
        </w:rPr>
        <w:t>Stefanie Beck, Marketing</w:t>
      </w:r>
    </w:p>
    <w:p w14:paraId="53624391" w14:textId="77777777" w:rsidR="00D91134" w:rsidRPr="002E4BC0" w:rsidRDefault="00D91134" w:rsidP="00D91134">
      <w:pPr>
        <w:rPr>
          <w:rFonts w:cs="Arial"/>
          <w:sz w:val="20"/>
          <w:lang w:val="en-US"/>
        </w:rPr>
      </w:pPr>
      <w:r w:rsidRPr="002E4BC0">
        <w:rPr>
          <w:rFonts w:cs="Arial"/>
          <w:sz w:val="20"/>
          <w:lang w:val="en-US"/>
        </w:rPr>
        <w:t>Heubergstraße 2</w:t>
      </w:r>
    </w:p>
    <w:p w14:paraId="7BC6F421" w14:textId="77777777" w:rsidR="00D91134" w:rsidRPr="002E4BC0" w:rsidRDefault="00D91134" w:rsidP="00D91134">
      <w:pPr>
        <w:rPr>
          <w:rFonts w:cs="Arial"/>
          <w:sz w:val="20"/>
          <w:lang w:val="en-US"/>
        </w:rPr>
      </w:pPr>
      <w:proofErr w:type="gramStart"/>
      <w:r w:rsidRPr="002E4BC0">
        <w:rPr>
          <w:rFonts w:cs="Arial"/>
          <w:sz w:val="20"/>
          <w:lang w:val="en-US"/>
        </w:rPr>
        <w:t>72172</w:t>
      </w:r>
      <w:proofErr w:type="gramEnd"/>
      <w:r w:rsidRPr="002E4BC0">
        <w:rPr>
          <w:rFonts w:cs="Arial"/>
          <w:sz w:val="20"/>
          <w:lang w:val="en-US"/>
        </w:rPr>
        <w:t xml:space="preserve"> Sulz am Neckar</w:t>
      </w:r>
    </w:p>
    <w:p w14:paraId="1A9089C1" w14:textId="77777777" w:rsidR="00D91134" w:rsidRPr="002E4BC0" w:rsidRDefault="00D91134" w:rsidP="00D91134">
      <w:pPr>
        <w:rPr>
          <w:rFonts w:cs="Arial"/>
          <w:sz w:val="20"/>
          <w:lang w:val="en-US"/>
        </w:rPr>
      </w:pPr>
    </w:p>
    <w:p w14:paraId="36017D04" w14:textId="77777777" w:rsidR="00D91134" w:rsidRPr="002E4BC0" w:rsidRDefault="00D91134" w:rsidP="00D91134">
      <w:pPr>
        <w:rPr>
          <w:rFonts w:cs="Arial"/>
          <w:sz w:val="20"/>
          <w:lang w:val="en-US"/>
        </w:rPr>
      </w:pPr>
      <w:r w:rsidRPr="002E4BC0">
        <w:rPr>
          <w:rFonts w:cs="Arial"/>
          <w:sz w:val="20"/>
          <w:lang w:val="en-US"/>
        </w:rPr>
        <w:t>Telefone: 07454 793-30</w:t>
      </w:r>
    </w:p>
    <w:p w14:paraId="7225DC5D" w14:textId="224E1234" w:rsidR="00D91134" w:rsidRDefault="00D91134" w:rsidP="00D91134">
      <w:pPr>
        <w:rPr>
          <w:sz w:val="20"/>
          <w:szCs w:val="20"/>
        </w:rPr>
      </w:pPr>
      <w:r w:rsidRPr="002E4BC0">
        <w:rPr>
          <w:sz w:val="20"/>
          <w:szCs w:val="20"/>
          <w:lang w:val="en-US"/>
        </w:rPr>
        <w:t>E-mail</w:t>
      </w:r>
      <w:r>
        <w:rPr>
          <w:sz w:val="20"/>
          <w:szCs w:val="20"/>
        </w:rPr>
        <w:t xml:space="preserve">: stefanie.beck@kipp.com </w:t>
      </w:r>
    </w:p>
    <w:p w14:paraId="3183DACA" w14:textId="77777777" w:rsidR="00D91134" w:rsidRDefault="00D91134" w:rsidP="00D91134">
      <w:pPr>
        <w:rPr>
          <w:sz w:val="20"/>
          <w:szCs w:val="20"/>
        </w:rPr>
      </w:pPr>
    </w:p>
    <w:p w14:paraId="3BCAF4D2" w14:textId="77777777" w:rsidR="0006792A" w:rsidRDefault="0006792A" w:rsidP="00D91134">
      <w:pPr>
        <w:rPr>
          <w:sz w:val="20"/>
          <w:szCs w:val="20"/>
        </w:rPr>
      </w:pPr>
    </w:p>
    <w:p w14:paraId="741EFBF8" w14:textId="77777777" w:rsidR="0006792A" w:rsidRDefault="0006792A" w:rsidP="00D91134">
      <w:pPr>
        <w:rPr>
          <w:sz w:val="20"/>
          <w:szCs w:val="20"/>
        </w:rPr>
      </w:pPr>
    </w:p>
    <w:p w14:paraId="16ABA4B7" w14:textId="77777777" w:rsidR="00177259" w:rsidRDefault="00177259" w:rsidP="00D91134">
      <w:pPr>
        <w:rPr>
          <w:sz w:val="20"/>
          <w:szCs w:val="20"/>
        </w:rPr>
      </w:pPr>
    </w:p>
    <w:p w14:paraId="4D29A936" w14:textId="77777777" w:rsidR="0006792A" w:rsidRPr="00572872" w:rsidRDefault="0006792A" w:rsidP="0006792A">
      <w:r>
        <w:t>Outras informações e fotos de imprensa</w:t>
      </w:r>
    </w:p>
    <w:p w14:paraId="524D56AE" w14:textId="77777777" w:rsidR="0006792A" w:rsidRPr="002E4BC0" w:rsidRDefault="0006792A" w:rsidP="0006792A">
      <w:pPr>
        <w:rPr>
          <w:sz w:val="20"/>
          <w:lang w:val="en-US"/>
        </w:rPr>
      </w:pPr>
      <w:r w:rsidRPr="002E4BC0">
        <w:rPr>
          <w:sz w:val="20"/>
          <w:lang w:val="en-US"/>
        </w:rPr>
        <w:t>Veja www.kipp.com.br, região: Alemanha, Rubrica: News/área de imprensa</w:t>
      </w:r>
    </w:p>
    <w:p w14:paraId="7C0337C9" w14:textId="77777777" w:rsidR="0006792A" w:rsidRPr="002E4BC0" w:rsidRDefault="0006792A" w:rsidP="0006792A">
      <w:pPr>
        <w:rPr>
          <w:sz w:val="20"/>
          <w:lang w:val="en-US"/>
        </w:rPr>
      </w:pPr>
    </w:p>
    <w:p w14:paraId="22800D69" w14:textId="77777777" w:rsidR="0006792A" w:rsidRPr="002E4BC0" w:rsidRDefault="0006792A" w:rsidP="0006792A">
      <w:pPr>
        <w:rPr>
          <w:rFonts w:cs="Arial"/>
          <w:sz w:val="20"/>
          <w:szCs w:val="20"/>
          <w:lang w:val="en-US"/>
        </w:rPr>
      </w:pPr>
    </w:p>
    <w:p w14:paraId="258F447F" w14:textId="77777777" w:rsidR="0006792A" w:rsidRDefault="0006792A" w:rsidP="0006792A">
      <w:pPr>
        <w:pStyle w:val="berschrift3"/>
      </w:pPr>
      <w:r>
        <w:t>Fotos</w:t>
      </w:r>
      <w:r>
        <w:tab/>
      </w:r>
    </w:p>
    <w:p w14:paraId="04437D54" w14:textId="77777777" w:rsidR="0006792A" w:rsidRPr="008A4372" w:rsidRDefault="0006792A" w:rsidP="0006792A"/>
    <w:tbl>
      <w:tblPr>
        <w:tblW w:w="9810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76"/>
        <w:gridCol w:w="4434"/>
      </w:tblGrid>
      <w:tr w:rsidR="002A0825" w:rsidRPr="00BA30D1" w14:paraId="1CB35EA9" w14:textId="77777777" w:rsidTr="00864177">
        <w:tc>
          <w:tcPr>
            <w:tcW w:w="4990" w:type="dxa"/>
          </w:tcPr>
          <w:p w14:paraId="52C3ECB4" w14:textId="5CA496F1" w:rsidR="00E476EB" w:rsidRPr="002E4BC0" w:rsidRDefault="00E0115F" w:rsidP="00E476EB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2E4BC0">
              <w:rPr>
                <w:rFonts w:cs="Arial"/>
                <w:bCs/>
                <w:sz w:val="22"/>
                <w:szCs w:val="22"/>
                <w:lang w:val="en-US"/>
              </w:rPr>
              <w:t>A chave para mais segurança: manípulos com chave da KIPP</w:t>
            </w:r>
          </w:p>
          <w:p w14:paraId="708C9D60" w14:textId="77777777" w:rsidR="0075737F" w:rsidRPr="002E4BC0" w:rsidRDefault="0075737F" w:rsidP="00E476EB">
            <w:pPr>
              <w:rPr>
                <w:sz w:val="20"/>
                <w:lang w:val="en-US"/>
              </w:rPr>
            </w:pPr>
          </w:p>
          <w:p w14:paraId="36C86905" w14:textId="6EE8CB07" w:rsidR="0006792A" w:rsidRPr="00E476EB" w:rsidRDefault="00A664FC" w:rsidP="00E476EB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C1D14A" wp14:editId="65B02524">
                  <wp:extent cx="3274834" cy="2456815"/>
                  <wp:effectExtent l="0" t="0" r="1905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Bediengriffe-abschließbar_K1378_CMYK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570" cy="246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0A566C6" w14:textId="77777777" w:rsidR="0006792A" w:rsidRDefault="0006792A" w:rsidP="00ED63FF">
            <w:pPr>
              <w:ind w:left="-250"/>
              <w:rPr>
                <w:noProof/>
                <w:sz w:val="20"/>
              </w:rPr>
            </w:pPr>
          </w:p>
          <w:p w14:paraId="74648D66" w14:textId="77777777" w:rsidR="0006792A" w:rsidRDefault="0006792A" w:rsidP="00ED63FF">
            <w:pPr>
              <w:ind w:hanging="250"/>
              <w:rPr>
                <w:noProof/>
                <w:sz w:val="20"/>
              </w:rPr>
            </w:pPr>
          </w:p>
          <w:p w14:paraId="5091693B" w14:textId="77777777" w:rsidR="0006792A" w:rsidRDefault="0006792A" w:rsidP="00ED63FF">
            <w:pPr>
              <w:ind w:left="-249"/>
              <w:rPr>
                <w:noProof/>
                <w:sz w:val="20"/>
              </w:rPr>
            </w:pPr>
          </w:p>
          <w:p w14:paraId="6CC489E0" w14:textId="77777777" w:rsidR="00864177" w:rsidRDefault="00864177" w:rsidP="006547F2">
            <w:pPr>
              <w:rPr>
                <w:noProof/>
                <w:sz w:val="20"/>
              </w:rPr>
            </w:pPr>
          </w:p>
          <w:p w14:paraId="4AEA4857" w14:textId="77777777" w:rsidR="00864177" w:rsidRDefault="00864177" w:rsidP="006547F2">
            <w:pPr>
              <w:rPr>
                <w:noProof/>
                <w:sz w:val="20"/>
              </w:rPr>
            </w:pPr>
          </w:p>
          <w:p w14:paraId="2BE41D0F" w14:textId="77777777" w:rsidR="0006792A" w:rsidRPr="00DB3BF0" w:rsidRDefault="0006792A" w:rsidP="006547F2">
            <w:pPr>
              <w:rPr>
                <w:sz w:val="20"/>
              </w:rPr>
            </w:pPr>
            <w:r>
              <w:rPr>
                <w:sz w:val="20"/>
              </w:rPr>
              <w:t xml:space="preserve">Arquivo de imagem: </w:t>
            </w:r>
          </w:p>
          <w:p w14:paraId="693B8789" w14:textId="25BFE105" w:rsidR="0006792A" w:rsidRDefault="0075737F" w:rsidP="00ED63FF">
            <w:pPr>
              <w:rPr>
                <w:sz w:val="20"/>
              </w:rPr>
            </w:pPr>
            <w:r>
              <w:rPr>
                <w:sz w:val="20"/>
              </w:rPr>
              <w:t>KIPP_Bediengriffe abschließbar_K1378_CMYK.jpg</w:t>
            </w:r>
          </w:p>
          <w:p w14:paraId="5E7E80B7" w14:textId="77777777" w:rsidR="006547F2" w:rsidRDefault="006547F2" w:rsidP="00864177">
            <w:pPr>
              <w:ind w:right="-533"/>
              <w:rPr>
                <w:sz w:val="20"/>
              </w:rPr>
            </w:pPr>
          </w:p>
          <w:p w14:paraId="2BCB90BA" w14:textId="77777777" w:rsidR="0006792A" w:rsidRDefault="0006792A" w:rsidP="00ED63FF">
            <w:pPr>
              <w:rPr>
                <w:sz w:val="20"/>
              </w:rPr>
            </w:pPr>
          </w:p>
          <w:p w14:paraId="4D285442" w14:textId="77777777" w:rsidR="0006792A" w:rsidRDefault="0006792A" w:rsidP="00ED63FF">
            <w:pPr>
              <w:rPr>
                <w:sz w:val="20"/>
                <w:vertAlign w:val="subscript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  <w:p w14:paraId="1F3540D8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5905624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E982665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E05BA0B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CBF318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7DDBF9DB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7B0D4376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46E1FE4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6E4BFBC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C81534C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B7BF002" w14:textId="5C3A19A1" w:rsidR="002A0825" w:rsidRPr="00DB3BF0" w:rsidRDefault="002A0825" w:rsidP="00ED63FF">
            <w:pPr>
              <w:rPr>
                <w:sz w:val="20"/>
              </w:rPr>
            </w:pPr>
          </w:p>
        </w:tc>
      </w:tr>
      <w:tr w:rsidR="002A0825" w:rsidRPr="00BA30D1" w14:paraId="0B040A56" w14:textId="77777777" w:rsidTr="00864177">
        <w:tc>
          <w:tcPr>
            <w:tcW w:w="4990" w:type="dxa"/>
          </w:tcPr>
          <w:p w14:paraId="28433C62" w14:textId="7A88B581" w:rsidR="0006792A" w:rsidRDefault="0006792A" w:rsidP="00ED63FF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14:paraId="36703DEA" w14:textId="77777777" w:rsidR="0006792A" w:rsidRDefault="0006792A" w:rsidP="00ED63FF">
            <w:pPr>
              <w:ind w:left="-250"/>
              <w:rPr>
                <w:noProof/>
                <w:sz w:val="20"/>
              </w:rPr>
            </w:pPr>
          </w:p>
        </w:tc>
      </w:tr>
    </w:tbl>
    <w:p w14:paraId="350D2DEE" w14:textId="77777777" w:rsidR="0006792A" w:rsidRDefault="0006792A" w:rsidP="0006792A">
      <w:pPr>
        <w:ind w:left="-79"/>
        <w:rPr>
          <w:sz w:val="16"/>
          <w:szCs w:val="16"/>
        </w:rPr>
      </w:pPr>
    </w:p>
    <w:p w14:paraId="55A7CF23" w14:textId="77777777" w:rsidR="0006792A" w:rsidRPr="002E4BC0" w:rsidRDefault="0006792A" w:rsidP="0006792A">
      <w:pPr>
        <w:ind w:left="-79"/>
        <w:rPr>
          <w:sz w:val="16"/>
          <w:szCs w:val="16"/>
          <w:lang w:val="en-US"/>
        </w:rPr>
      </w:pPr>
      <w:r w:rsidRPr="002E4BC0">
        <w:rPr>
          <w:sz w:val="16"/>
          <w:szCs w:val="16"/>
          <w:lang w:val="en-US"/>
        </w:rPr>
        <w:t xml:space="preserve">Direitos de imagem: autorizado para publicação isenta de licença e de honorários em meios de comunicação especializados. </w:t>
      </w:r>
    </w:p>
    <w:p w14:paraId="21C25D17" w14:textId="77777777" w:rsidR="0006792A" w:rsidRPr="002E4BC0" w:rsidRDefault="0006792A" w:rsidP="0006792A">
      <w:pPr>
        <w:ind w:left="-79"/>
        <w:jc w:val="both"/>
        <w:rPr>
          <w:sz w:val="16"/>
          <w:szCs w:val="16"/>
          <w:lang w:val="en-US"/>
        </w:rPr>
      </w:pPr>
      <w:r w:rsidRPr="002E4BC0">
        <w:rPr>
          <w:sz w:val="16"/>
          <w:szCs w:val="16"/>
          <w:lang w:val="en-US"/>
        </w:rPr>
        <w:t xml:space="preserve">Com o pedido de indicação de fonte e documento. </w:t>
      </w:r>
    </w:p>
    <w:p w14:paraId="01B097F5" w14:textId="77777777" w:rsidR="000B6B8F" w:rsidRPr="002E4BC0" w:rsidRDefault="000B6B8F" w:rsidP="00D91134">
      <w:pPr>
        <w:rPr>
          <w:sz w:val="20"/>
          <w:szCs w:val="20"/>
          <w:lang w:val="en-US"/>
        </w:rPr>
      </w:pPr>
    </w:p>
    <w:sectPr w:rsidR="000B6B8F" w:rsidRPr="002E4BC0" w:rsidSect="006C63DB">
      <w:footerReference w:type="default" r:id="rId9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5BE2" w14:textId="77777777" w:rsidR="00D94703" w:rsidRDefault="00D94703">
      <w:r>
        <w:separator/>
      </w:r>
    </w:p>
  </w:endnote>
  <w:endnote w:type="continuationSeparator" w:id="0">
    <w:p w14:paraId="52AFD103" w14:textId="77777777" w:rsidR="00D94703" w:rsidRDefault="00D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E4BC0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D0BA" w14:textId="77777777" w:rsidR="00D94703" w:rsidRDefault="00D94703">
      <w:r>
        <w:separator/>
      </w:r>
    </w:p>
  </w:footnote>
  <w:footnote w:type="continuationSeparator" w:id="0">
    <w:p w14:paraId="21B3DFF4" w14:textId="77777777" w:rsidR="00D94703" w:rsidRDefault="00D9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1F00"/>
    <w:rsid w:val="00063161"/>
    <w:rsid w:val="00067748"/>
    <w:rsid w:val="0006792A"/>
    <w:rsid w:val="00071EC7"/>
    <w:rsid w:val="00075035"/>
    <w:rsid w:val="00083695"/>
    <w:rsid w:val="0008715A"/>
    <w:rsid w:val="0009007F"/>
    <w:rsid w:val="00096AA0"/>
    <w:rsid w:val="000A4744"/>
    <w:rsid w:val="000A54A2"/>
    <w:rsid w:val="000B2E15"/>
    <w:rsid w:val="000B6B8F"/>
    <w:rsid w:val="000C2BCB"/>
    <w:rsid w:val="000E6A4E"/>
    <w:rsid w:val="0010397C"/>
    <w:rsid w:val="00103BD2"/>
    <w:rsid w:val="001339DE"/>
    <w:rsid w:val="00156D91"/>
    <w:rsid w:val="00173AD9"/>
    <w:rsid w:val="00177259"/>
    <w:rsid w:val="00186C61"/>
    <w:rsid w:val="001A3A33"/>
    <w:rsid w:val="001C1C06"/>
    <w:rsid w:val="001C5D12"/>
    <w:rsid w:val="001F595A"/>
    <w:rsid w:val="00205AB3"/>
    <w:rsid w:val="00210153"/>
    <w:rsid w:val="00210655"/>
    <w:rsid w:val="00266B69"/>
    <w:rsid w:val="002A0825"/>
    <w:rsid w:val="002A3A5D"/>
    <w:rsid w:val="002B4B0F"/>
    <w:rsid w:val="002D4A05"/>
    <w:rsid w:val="002D7C6C"/>
    <w:rsid w:val="002E4BC0"/>
    <w:rsid w:val="002E6D66"/>
    <w:rsid w:val="002F063A"/>
    <w:rsid w:val="00315E40"/>
    <w:rsid w:val="00325CBE"/>
    <w:rsid w:val="003376F5"/>
    <w:rsid w:val="00343061"/>
    <w:rsid w:val="00344FF7"/>
    <w:rsid w:val="00351C35"/>
    <w:rsid w:val="00377A6B"/>
    <w:rsid w:val="003831AA"/>
    <w:rsid w:val="00392FF3"/>
    <w:rsid w:val="003A002F"/>
    <w:rsid w:val="003A7D55"/>
    <w:rsid w:val="003C1386"/>
    <w:rsid w:val="003C27D8"/>
    <w:rsid w:val="00410B93"/>
    <w:rsid w:val="00412798"/>
    <w:rsid w:val="00415C62"/>
    <w:rsid w:val="0042198B"/>
    <w:rsid w:val="004221BC"/>
    <w:rsid w:val="00426264"/>
    <w:rsid w:val="00435DAC"/>
    <w:rsid w:val="004375D2"/>
    <w:rsid w:val="00444C4B"/>
    <w:rsid w:val="00451752"/>
    <w:rsid w:val="0045707C"/>
    <w:rsid w:val="004625C6"/>
    <w:rsid w:val="004711A8"/>
    <w:rsid w:val="00480F82"/>
    <w:rsid w:val="00481D67"/>
    <w:rsid w:val="00496518"/>
    <w:rsid w:val="004B015B"/>
    <w:rsid w:val="004C173B"/>
    <w:rsid w:val="004C2291"/>
    <w:rsid w:val="004E3329"/>
    <w:rsid w:val="004F447B"/>
    <w:rsid w:val="005100EC"/>
    <w:rsid w:val="00535106"/>
    <w:rsid w:val="0055746C"/>
    <w:rsid w:val="00572872"/>
    <w:rsid w:val="005814C8"/>
    <w:rsid w:val="005904DC"/>
    <w:rsid w:val="0059262C"/>
    <w:rsid w:val="00595330"/>
    <w:rsid w:val="005A5A84"/>
    <w:rsid w:val="005D3447"/>
    <w:rsid w:val="005D5624"/>
    <w:rsid w:val="005D6098"/>
    <w:rsid w:val="005E7AA5"/>
    <w:rsid w:val="0060636A"/>
    <w:rsid w:val="00612A8E"/>
    <w:rsid w:val="00620649"/>
    <w:rsid w:val="00645FBD"/>
    <w:rsid w:val="00650F39"/>
    <w:rsid w:val="006547F2"/>
    <w:rsid w:val="006700CA"/>
    <w:rsid w:val="006707F7"/>
    <w:rsid w:val="00677302"/>
    <w:rsid w:val="00687418"/>
    <w:rsid w:val="006932C6"/>
    <w:rsid w:val="006C3F70"/>
    <w:rsid w:val="006C63DB"/>
    <w:rsid w:val="006E09D7"/>
    <w:rsid w:val="006E623B"/>
    <w:rsid w:val="006E7A95"/>
    <w:rsid w:val="006F7A49"/>
    <w:rsid w:val="00713FCC"/>
    <w:rsid w:val="0071779D"/>
    <w:rsid w:val="00721B9E"/>
    <w:rsid w:val="0072422F"/>
    <w:rsid w:val="0073096B"/>
    <w:rsid w:val="00732783"/>
    <w:rsid w:val="00744C8F"/>
    <w:rsid w:val="00746212"/>
    <w:rsid w:val="0075737F"/>
    <w:rsid w:val="007612CB"/>
    <w:rsid w:val="007677AC"/>
    <w:rsid w:val="0077742E"/>
    <w:rsid w:val="007819BF"/>
    <w:rsid w:val="007833B0"/>
    <w:rsid w:val="00783817"/>
    <w:rsid w:val="00786BAF"/>
    <w:rsid w:val="0079710B"/>
    <w:rsid w:val="007B482A"/>
    <w:rsid w:val="007B7C67"/>
    <w:rsid w:val="007C52A3"/>
    <w:rsid w:val="007C531D"/>
    <w:rsid w:val="00811115"/>
    <w:rsid w:val="00814DDB"/>
    <w:rsid w:val="00831AFC"/>
    <w:rsid w:val="0083468D"/>
    <w:rsid w:val="008354E3"/>
    <w:rsid w:val="00856392"/>
    <w:rsid w:val="00864177"/>
    <w:rsid w:val="00866A85"/>
    <w:rsid w:val="00873431"/>
    <w:rsid w:val="00874D03"/>
    <w:rsid w:val="00877656"/>
    <w:rsid w:val="0088039F"/>
    <w:rsid w:val="00883042"/>
    <w:rsid w:val="00884707"/>
    <w:rsid w:val="00886B08"/>
    <w:rsid w:val="0089051A"/>
    <w:rsid w:val="00890EF8"/>
    <w:rsid w:val="00896037"/>
    <w:rsid w:val="008A35A7"/>
    <w:rsid w:val="008B1CC1"/>
    <w:rsid w:val="008B453D"/>
    <w:rsid w:val="008C15B8"/>
    <w:rsid w:val="008D4893"/>
    <w:rsid w:val="008E1D8B"/>
    <w:rsid w:val="008E7247"/>
    <w:rsid w:val="009260EC"/>
    <w:rsid w:val="00926486"/>
    <w:rsid w:val="009279A4"/>
    <w:rsid w:val="00943D25"/>
    <w:rsid w:val="0095515C"/>
    <w:rsid w:val="00964985"/>
    <w:rsid w:val="00967469"/>
    <w:rsid w:val="009827F9"/>
    <w:rsid w:val="009A3246"/>
    <w:rsid w:val="009E00B6"/>
    <w:rsid w:val="009E513A"/>
    <w:rsid w:val="009F09F8"/>
    <w:rsid w:val="00A04748"/>
    <w:rsid w:val="00A12414"/>
    <w:rsid w:val="00A16E43"/>
    <w:rsid w:val="00A21E91"/>
    <w:rsid w:val="00A372BE"/>
    <w:rsid w:val="00A3733C"/>
    <w:rsid w:val="00A3789F"/>
    <w:rsid w:val="00A42E0D"/>
    <w:rsid w:val="00A472BE"/>
    <w:rsid w:val="00A60D1F"/>
    <w:rsid w:val="00A6226B"/>
    <w:rsid w:val="00A664FC"/>
    <w:rsid w:val="00A74BF6"/>
    <w:rsid w:val="00A859E4"/>
    <w:rsid w:val="00A94282"/>
    <w:rsid w:val="00A95456"/>
    <w:rsid w:val="00AA3FDA"/>
    <w:rsid w:val="00AC5B91"/>
    <w:rsid w:val="00AE0177"/>
    <w:rsid w:val="00AF76CF"/>
    <w:rsid w:val="00B234EB"/>
    <w:rsid w:val="00B57513"/>
    <w:rsid w:val="00B8324B"/>
    <w:rsid w:val="00B965F5"/>
    <w:rsid w:val="00BA7DFB"/>
    <w:rsid w:val="00BB6B2C"/>
    <w:rsid w:val="00BE3937"/>
    <w:rsid w:val="00BF3FE9"/>
    <w:rsid w:val="00C05E66"/>
    <w:rsid w:val="00C14180"/>
    <w:rsid w:val="00C1463D"/>
    <w:rsid w:val="00C43B71"/>
    <w:rsid w:val="00C56C4B"/>
    <w:rsid w:val="00C661D5"/>
    <w:rsid w:val="00C757FF"/>
    <w:rsid w:val="00C7668C"/>
    <w:rsid w:val="00C873E0"/>
    <w:rsid w:val="00C97425"/>
    <w:rsid w:val="00CC06B6"/>
    <w:rsid w:val="00CC3662"/>
    <w:rsid w:val="00CD63A2"/>
    <w:rsid w:val="00D12D81"/>
    <w:rsid w:val="00D141C9"/>
    <w:rsid w:val="00D158CF"/>
    <w:rsid w:val="00D15F48"/>
    <w:rsid w:val="00D418B7"/>
    <w:rsid w:val="00D610DD"/>
    <w:rsid w:val="00D769EF"/>
    <w:rsid w:val="00D90044"/>
    <w:rsid w:val="00D91134"/>
    <w:rsid w:val="00D94703"/>
    <w:rsid w:val="00DA6035"/>
    <w:rsid w:val="00DD7BB1"/>
    <w:rsid w:val="00DE4BEA"/>
    <w:rsid w:val="00DE744E"/>
    <w:rsid w:val="00E0115F"/>
    <w:rsid w:val="00E02875"/>
    <w:rsid w:val="00E11211"/>
    <w:rsid w:val="00E13FF0"/>
    <w:rsid w:val="00E46782"/>
    <w:rsid w:val="00E476EB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1E1E"/>
    <w:rsid w:val="00F02F1A"/>
    <w:rsid w:val="00F03034"/>
    <w:rsid w:val="00F0556A"/>
    <w:rsid w:val="00F101F6"/>
    <w:rsid w:val="00F24466"/>
    <w:rsid w:val="00F25A67"/>
    <w:rsid w:val="00F31E3B"/>
    <w:rsid w:val="00F37E0F"/>
    <w:rsid w:val="00F408EA"/>
    <w:rsid w:val="00F94190"/>
    <w:rsid w:val="00F9558C"/>
    <w:rsid w:val="00FB2006"/>
    <w:rsid w:val="00FC170A"/>
    <w:rsid w:val="00FD5353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B58EEA51.dotm</Template>
  <TotalTime>0</TotalTime>
  <Pages>2</Pages>
  <Words>331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2239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15</cp:revision>
  <cp:lastPrinted>2013-07-15T10:09:00Z</cp:lastPrinted>
  <dcterms:created xsi:type="dcterms:W3CDTF">2019-03-28T16:07:00Z</dcterms:created>
  <dcterms:modified xsi:type="dcterms:W3CDTF">2019-07-24T06:18:00Z</dcterms:modified>
</cp:coreProperties>
</file>