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28D80C" w14:textId="77777777" w:rsidR="00783817" w:rsidRPr="009A7F0D" w:rsidRDefault="00021C53" w:rsidP="00783817">
      <w:r>
        <w:rPr>
          <w:noProof/>
        </w:rPr>
        <w:drawing>
          <wp:anchor distT="0" distB="0" distL="114300" distR="114300" simplePos="0" relativeHeight="251658240" behindDoc="1" locked="0" layoutInCell="1" allowOverlap="1" wp14:anchorId="79840BE1" wp14:editId="59C8B60A">
            <wp:simplePos x="0" y="0"/>
            <wp:positionH relativeFrom="margin">
              <wp:align>right</wp:align>
            </wp:positionH>
            <wp:positionV relativeFrom="topMargin">
              <wp:align>bottom</wp:align>
            </wp:positionV>
            <wp:extent cx="1036955" cy="760095"/>
            <wp:effectExtent l="0" t="0" r="0" b="1905"/>
            <wp:wrapTight wrapText="bothSides">
              <wp:wrapPolygon edited="0">
                <wp:start x="0" y="0"/>
                <wp:lineTo x="0" y="21113"/>
                <wp:lineTo x="21031" y="21113"/>
                <wp:lineTo x="21031" y="0"/>
                <wp:lineTo x="0" y="0"/>
              </wp:wrapPolygon>
            </wp:wrapTight>
            <wp:docPr id="2" name="Bild 5" descr="KIPP-Logo-R41G59137-72DPI_20cm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 descr="KIPP-Logo-R41G59137-72DPI_20cm_20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76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502ED" w14:textId="77777777" w:rsidR="00783817" w:rsidRPr="00DC00BF" w:rsidRDefault="00783817" w:rsidP="00783817">
      <w:pPr>
        <w:pStyle w:val="berschrift3"/>
        <w:tabs>
          <w:tab w:val="right" w:pos="9356"/>
        </w:tabs>
        <w:rPr>
          <w:b w:val="0"/>
          <w:sz w:val="22"/>
          <w:szCs w:val="22"/>
          <w:lang w:val="en-US"/>
        </w:rPr>
      </w:pPr>
      <w:r w:rsidRPr="00DC00BF">
        <w:rPr>
          <w:noProof/>
          <w:u w:val="single"/>
          <w:lang w:val="en-US"/>
        </w:rPr>
        <w:t>Comunicado de imprensa</w:t>
      </w:r>
      <w:r w:rsidRPr="00DC00BF">
        <w:rPr>
          <w:szCs w:val="22"/>
          <w:lang w:val="en-US"/>
        </w:rPr>
        <w:t xml:space="preserve"> </w:t>
      </w:r>
      <w:r w:rsidRPr="00DC00BF">
        <w:rPr>
          <w:szCs w:val="22"/>
          <w:lang w:val="en-US"/>
        </w:rPr>
        <w:tab/>
      </w:r>
      <w:r w:rsidRPr="00DC00BF">
        <w:rPr>
          <w:b w:val="0"/>
          <w:sz w:val="22"/>
          <w:szCs w:val="22"/>
          <w:lang w:val="en-US"/>
        </w:rPr>
        <w:t>Sulz am Neckar, março 2018</w:t>
      </w:r>
    </w:p>
    <w:p w14:paraId="507E0B46" w14:textId="77777777" w:rsidR="002E6D66" w:rsidRPr="00DC00BF" w:rsidRDefault="002E6D66" w:rsidP="00DE4BEA">
      <w:pPr>
        <w:rPr>
          <w:rFonts w:cs="Arial"/>
          <w:sz w:val="22"/>
          <w:szCs w:val="22"/>
          <w:lang w:val="en-US"/>
        </w:rPr>
      </w:pPr>
    </w:p>
    <w:p w14:paraId="0E836538" w14:textId="77777777" w:rsidR="002E6D66" w:rsidRPr="00DC00BF" w:rsidRDefault="002E6D66" w:rsidP="00DE4BEA">
      <w:pPr>
        <w:rPr>
          <w:rFonts w:cs="Arial"/>
          <w:sz w:val="22"/>
          <w:szCs w:val="22"/>
          <w:lang w:val="en-US"/>
        </w:rPr>
      </w:pPr>
    </w:p>
    <w:p w14:paraId="61CEDCF9" w14:textId="77777777" w:rsidR="00B66C13" w:rsidRPr="00DC00BF" w:rsidRDefault="00B66C13" w:rsidP="00B66C13">
      <w:pPr>
        <w:rPr>
          <w:rFonts w:cs="Arial"/>
          <w:sz w:val="22"/>
          <w:szCs w:val="22"/>
          <w:lang w:val="en-US"/>
        </w:rPr>
      </w:pPr>
      <w:r w:rsidRPr="00DC00BF">
        <w:rPr>
          <w:rFonts w:cs="Arial"/>
          <w:sz w:val="22"/>
          <w:szCs w:val="22"/>
          <w:lang w:val="en-US"/>
        </w:rPr>
        <w:t>Amortecimento impede emperramento</w:t>
      </w:r>
    </w:p>
    <w:p w14:paraId="58002F2C" w14:textId="77777777" w:rsidR="00B66C13" w:rsidRPr="00DC00BF" w:rsidRDefault="00B66C13" w:rsidP="00B66C13">
      <w:pPr>
        <w:pStyle w:val="berschrift1"/>
        <w:rPr>
          <w:lang w:val="en-US"/>
        </w:rPr>
      </w:pPr>
      <w:r w:rsidRPr="00DC00BF">
        <w:rPr>
          <w:lang w:val="en-US"/>
        </w:rPr>
        <w:t>A KIPP otimizou batentes de aperto para perfis com ranhuras</w:t>
      </w:r>
    </w:p>
    <w:p w14:paraId="1A1E8859" w14:textId="77777777" w:rsidR="00874D03" w:rsidRPr="00DC00BF" w:rsidRDefault="00874D03" w:rsidP="00874D03">
      <w:pPr>
        <w:rPr>
          <w:lang w:val="en-US" w:eastAsia="x-none"/>
        </w:rPr>
      </w:pPr>
    </w:p>
    <w:p w14:paraId="20617E40" w14:textId="77777777" w:rsidR="00B66C13" w:rsidRPr="00DC00BF" w:rsidRDefault="00B66C13" w:rsidP="00B66C13">
      <w:pPr>
        <w:spacing w:line="360" w:lineRule="auto"/>
        <w:rPr>
          <w:rFonts w:cs="Arial"/>
          <w:b/>
          <w:bCs/>
          <w:sz w:val="22"/>
          <w:szCs w:val="22"/>
          <w:lang w:val="en-US"/>
        </w:rPr>
      </w:pPr>
      <w:r w:rsidRPr="00DC00BF">
        <w:rPr>
          <w:rFonts w:cs="Arial"/>
          <w:b/>
          <w:bCs/>
          <w:sz w:val="22"/>
          <w:szCs w:val="22"/>
          <w:lang w:val="en-US"/>
        </w:rPr>
        <w:t xml:space="preserve">A HEINRICH KIPP WERK lançou uma novidade prática no mercado: pino roscado com amortecimento. Este dispositivo impede interferências nos processos de trabalho </w:t>
      </w:r>
      <w:proofErr w:type="gramStart"/>
      <w:r w:rsidRPr="00DC00BF">
        <w:rPr>
          <w:rFonts w:cs="Arial"/>
          <w:b/>
          <w:bCs/>
          <w:sz w:val="22"/>
          <w:szCs w:val="22"/>
          <w:lang w:val="en-US"/>
        </w:rPr>
        <w:t>como</w:t>
      </w:r>
      <w:proofErr w:type="gramEnd"/>
      <w:r w:rsidRPr="00DC00BF">
        <w:rPr>
          <w:rFonts w:cs="Arial"/>
          <w:b/>
          <w:bCs/>
          <w:sz w:val="22"/>
          <w:szCs w:val="22"/>
          <w:lang w:val="en-US"/>
        </w:rPr>
        <w:t xml:space="preserve"> emperramento, além de simplificar o deslocamento do batente. O elemehto de posicionamento com tamanho de rosca M6 é apropriado para diversas áreas de aplicações.</w:t>
      </w:r>
    </w:p>
    <w:p w14:paraId="57350E67" w14:textId="77777777" w:rsidR="009A1A57" w:rsidRPr="00DC00BF" w:rsidRDefault="009A1A57" w:rsidP="009A1A57">
      <w:pPr>
        <w:spacing w:line="360" w:lineRule="auto"/>
        <w:rPr>
          <w:b/>
          <w:bCs/>
          <w:sz w:val="22"/>
          <w:szCs w:val="22"/>
          <w:lang w:val="en-US" w:eastAsia="x-none"/>
        </w:rPr>
      </w:pPr>
    </w:p>
    <w:p w14:paraId="29766541" w14:textId="3B44DAEA" w:rsidR="00B66C13" w:rsidRPr="00DC00BF" w:rsidRDefault="00B66C13" w:rsidP="00B66C13">
      <w:pPr>
        <w:spacing w:line="360" w:lineRule="auto"/>
        <w:rPr>
          <w:rFonts w:cs="Arial"/>
          <w:bCs/>
          <w:color w:val="000000" w:themeColor="text1"/>
          <w:sz w:val="22"/>
          <w:szCs w:val="22"/>
          <w:lang w:val="en-US"/>
        </w:rPr>
      </w:pPr>
      <w:r w:rsidRPr="00DC00BF">
        <w:rPr>
          <w:rFonts w:cs="Arial"/>
          <w:bCs/>
          <w:color w:val="000000" w:themeColor="text1"/>
          <w:sz w:val="22"/>
          <w:szCs w:val="22"/>
          <w:lang w:val="en-US"/>
        </w:rPr>
        <w:t xml:space="preserve">Batentes de aperto são utilizados </w:t>
      </w:r>
      <w:proofErr w:type="gramStart"/>
      <w:r w:rsidRPr="00DC00BF">
        <w:rPr>
          <w:rFonts w:cs="Arial"/>
          <w:bCs/>
          <w:color w:val="000000" w:themeColor="text1"/>
          <w:sz w:val="22"/>
          <w:szCs w:val="22"/>
          <w:lang w:val="en-US"/>
        </w:rPr>
        <w:t>na</w:t>
      </w:r>
      <w:proofErr w:type="gramEnd"/>
      <w:r w:rsidRPr="00DC00BF">
        <w:rPr>
          <w:rFonts w:cs="Arial"/>
          <w:bCs/>
          <w:color w:val="000000" w:themeColor="text1"/>
          <w:sz w:val="22"/>
          <w:szCs w:val="22"/>
          <w:lang w:val="en-US"/>
        </w:rPr>
        <w:t xml:space="preserve"> tecnologia de montagem, de transportadores assim como na fabricação de equipamentos e dispositivos, para posicionar peças de trabalho. A HEINRICH KIPP WERK oferece pela primeira vez uma versão com molas internas.O aperto do batente ocorre ao girar o manípulo em estrela. Ao soltar o batente, a porca T de encaixe se desprenderá e o batente poderá ser reposicionado </w:t>
      </w:r>
      <w:proofErr w:type="gramStart"/>
      <w:r w:rsidRPr="00DC00BF">
        <w:rPr>
          <w:rFonts w:cs="Arial"/>
          <w:bCs/>
          <w:color w:val="000000" w:themeColor="text1"/>
          <w:sz w:val="22"/>
          <w:szCs w:val="22"/>
          <w:lang w:val="en-US"/>
        </w:rPr>
        <w:t>sem</w:t>
      </w:r>
      <w:proofErr w:type="gramEnd"/>
      <w:r w:rsidRPr="00DC00BF">
        <w:rPr>
          <w:rFonts w:cs="Arial"/>
          <w:bCs/>
          <w:color w:val="000000" w:themeColor="text1"/>
          <w:sz w:val="22"/>
          <w:szCs w:val="22"/>
          <w:lang w:val="en-US"/>
        </w:rPr>
        <w:t xml:space="preserve"> emperramentos. O pino roscado com sistema de amortecimento possibilita um deslocamento extremamente fácil, contribuindo ainda para </w:t>
      </w:r>
      <w:proofErr w:type="gramStart"/>
      <w:r w:rsidRPr="00DC00BF">
        <w:rPr>
          <w:rFonts w:cs="Arial"/>
          <w:bCs/>
          <w:color w:val="000000" w:themeColor="text1"/>
          <w:sz w:val="22"/>
          <w:szCs w:val="22"/>
          <w:lang w:val="en-US"/>
        </w:rPr>
        <w:t>a</w:t>
      </w:r>
      <w:proofErr w:type="gramEnd"/>
      <w:r w:rsidRPr="00DC00BF">
        <w:rPr>
          <w:rFonts w:cs="Arial"/>
          <w:bCs/>
          <w:color w:val="000000" w:themeColor="text1"/>
          <w:sz w:val="22"/>
          <w:szCs w:val="22"/>
          <w:lang w:val="en-US"/>
        </w:rPr>
        <w:t xml:space="preserve"> eficiência do trabalho. </w:t>
      </w:r>
    </w:p>
    <w:p w14:paraId="3E172E4E" w14:textId="77777777" w:rsidR="00B66C13" w:rsidRPr="00DC00BF" w:rsidRDefault="00B66C13" w:rsidP="00B66C13">
      <w:pPr>
        <w:spacing w:line="360" w:lineRule="auto"/>
        <w:rPr>
          <w:rFonts w:cs="Arial"/>
          <w:bCs/>
          <w:color w:val="000000" w:themeColor="text1"/>
          <w:sz w:val="22"/>
          <w:szCs w:val="22"/>
          <w:lang w:val="en-US"/>
        </w:rPr>
      </w:pPr>
    </w:p>
    <w:p w14:paraId="65CEEF19" w14:textId="78CD0076" w:rsidR="000435B3" w:rsidRPr="00DC00BF" w:rsidRDefault="00B66C13" w:rsidP="00DC00BF">
      <w:pPr>
        <w:spacing w:line="360" w:lineRule="auto"/>
        <w:rPr>
          <w:rFonts w:cs="Arial"/>
          <w:bCs/>
          <w:color w:val="000000" w:themeColor="text1"/>
          <w:sz w:val="22"/>
          <w:szCs w:val="22"/>
          <w:lang w:val="en-US"/>
        </w:rPr>
      </w:pPr>
      <w:r w:rsidRPr="00DC00BF">
        <w:rPr>
          <w:rFonts w:cs="Arial"/>
          <w:bCs/>
          <w:color w:val="000000" w:themeColor="text1"/>
          <w:sz w:val="22"/>
          <w:szCs w:val="22"/>
          <w:lang w:val="en-US"/>
        </w:rPr>
        <w:t xml:space="preserve">O novo batente de aperto da KIPP consiste de um manípulo em estrela de plástico com rosca externa, um corpo báscio de alumínio em forma de cilindro, assim </w:t>
      </w:r>
      <w:proofErr w:type="gramStart"/>
      <w:r w:rsidRPr="00DC00BF">
        <w:rPr>
          <w:rFonts w:cs="Arial"/>
          <w:bCs/>
          <w:color w:val="000000" w:themeColor="text1"/>
          <w:sz w:val="22"/>
          <w:szCs w:val="22"/>
          <w:lang w:val="en-US"/>
        </w:rPr>
        <w:t>como</w:t>
      </w:r>
      <w:proofErr w:type="gramEnd"/>
      <w:r w:rsidRPr="00DC00BF">
        <w:rPr>
          <w:rFonts w:cs="Arial"/>
          <w:bCs/>
          <w:color w:val="000000" w:themeColor="text1"/>
          <w:sz w:val="22"/>
          <w:szCs w:val="22"/>
          <w:lang w:val="en-US"/>
        </w:rPr>
        <w:t xml:space="preserve"> de um pino com tamanho de rosca M6, o qual possibilita a utilização de diferentes tipos de porcas de encaixe. Ele é adequado para inúmeros sistemas perfilados, por exemplo, tipo B, tipo I e porcas T de encaixe, estas últimas em conformidade com a </w:t>
      </w:r>
      <w:proofErr w:type="gramStart"/>
      <w:r w:rsidRPr="00DC00BF">
        <w:rPr>
          <w:rFonts w:cs="Arial"/>
          <w:bCs/>
          <w:color w:val="000000" w:themeColor="text1"/>
          <w:sz w:val="22"/>
          <w:szCs w:val="22"/>
          <w:lang w:val="en-US"/>
        </w:rPr>
        <w:t>norma</w:t>
      </w:r>
      <w:proofErr w:type="gramEnd"/>
      <w:r w:rsidRPr="00DC00BF">
        <w:rPr>
          <w:rFonts w:cs="Arial"/>
          <w:bCs/>
          <w:color w:val="000000" w:themeColor="text1"/>
          <w:sz w:val="22"/>
          <w:szCs w:val="22"/>
          <w:lang w:val="en-US"/>
        </w:rPr>
        <w:t xml:space="preserve"> DIN 650. Além disso, a </w:t>
      </w:r>
      <w:proofErr w:type="gramStart"/>
      <w:r w:rsidRPr="00DC00BF">
        <w:rPr>
          <w:rFonts w:cs="Arial"/>
          <w:bCs/>
          <w:color w:val="000000" w:themeColor="text1"/>
          <w:sz w:val="22"/>
          <w:szCs w:val="22"/>
          <w:lang w:val="en-US"/>
        </w:rPr>
        <w:t>gama</w:t>
      </w:r>
      <w:proofErr w:type="gramEnd"/>
      <w:r w:rsidRPr="00DC00BF">
        <w:rPr>
          <w:rFonts w:cs="Arial"/>
          <w:bCs/>
          <w:color w:val="000000" w:themeColor="text1"/>
          <w:sz w:val="22"/>
          <w:szCs w:val="22"/>
          <w:lang w:val="en-US"/>
        </w:rPr>
        <w:t xml:space="preserve"> de produtos da KIPP possui diversos modelos de porcas de encaixe para ranhuras, que podem ser obtidas como acessório. </w:t>
      </w:r>
    </w:p>
    <w:p w14:paraId="4EB7859F" w14:textId="77777777" w:rsidR="00B66C13" w:rsidRPr="00DC00BF" w:rsidRDefault="00B66C13" w:rsidP="00190126">
      <w:pPr>
        <w:spacing w:line="276" w:lineRule="auto"/>
        <w:rPr>
          <w:sz w:val="22"/>
          <w:szCs w:val="22"/>
          <w:lang w:val="en-US"/>
        </w:rPr>
      </w:pPr>
    </w:p>
    <w:p w14:paraId="718E020B" w14:textId="77777777" w:rsidR="00D91134" w:rsidRPr="00DC00BF" w:rsidRDefault="00D91134" w:rsidP="00D91134">
      <w:pPr>
        <w:rPr>
          <w:rFonts w:cs="Arial"/>
          <w:sz w:val="20"/>
          <w:u w:val="single"/>
          <w:lang w:val="en-US"/>
        </w:rPr>
      </w:pPr>
      <w:r w:rsidRPr="00DC00BF">
        <w:rPr>
          <w:rFonts w:cs="Arial"/>
          <w:sz w:val="20"/>
          <w:u w:val="single"/>
          <w:lang w:val="en-US"/>
        </w:rPr>
        <w:t>Caracteres com espaços:</w:t>
      </w:r>
    </w:p>
    <w:p w14:paraId="6FF165AA" w14:textId="537A0483" w:rsidR="00D91134" w:rsidRPr="00DC00BF" w:rsidRDefault="00DC00BF" w:rsidP="00D91134">
      <w:pPr>
        <w:tabs>
          <w:tab w:val="right" w:pos="2410"/>
        </w:tabs>
        <w:rPr>
          <w:rFonts w:cs="Arial"/>
          <w:sz w:val="20"/>
          <w:lang w:val="en-US"/>
        </w:rPr>
      </w:pPr>
      <w:r w:rsidRPr="00DC00BF">
        <w:rPr>
          <w:rFonts w:cs="Arial"/>
          <w:sz w:val="20"/>
          <w:lang w:val="en-US"/>
        </w:rPr>
        <w:t>Headline:</w:t>
      </w:r>
      <w:r w:rsidRPr="00DC00BF">
        <w:rPr>
          <w:rFonts w:cs="Arial"/>
          <w:sz w:val="20"/>
          <w:lang w:val="en-US"/>
        </w:rPr>
        <w:tab/>
      </w:r>
      <w:r>
        <w:rPr>
          <w:rFonts w:cs="Arial"/>
          <w:sz w:val="20"/>
          <w:lang w:val="en-US"/>
        </w:rPr>
        <w:t>59</w:t>
      </w:r>
      <w:r w:rsidR="00D91134" w:rsidRPr="00DC00BF">
        <w:rPr>
          <w:rFonts w:cs="Arial"/>
          <w:sz w:val="20"/>
          <w:lang w:val="en-US"/>
        </w:rPr>
        <w:t xml:space="preserve"> caracteres</w:t>
      </w:r>
    </w:p>
    <w:p w14:paraId="1AD62CC3" w14:textId="798C95EF" w:rsidR="00D91134" w:rsidRPr="00DC00BF" w:rsidRDefault="00DC00BF" w:rsidP="00D91134">
      <w:pPr>
        <w:tabs>
          <w:tab w:val="right" w:pos="2410"/>
        </w:tabs>
        <w:rPr>
          <w:rFonts w:cs="Arial"/>
          <w:sz w:val="20"/>
          <w:lang w:val="en-US"/>
        </w:rPr>
      </w:pPr>
      <w:r>
        <w:rPr>
          <w:rFonts w:cs="Arial"/>
          <w:sz w:val="20"/>
          <w:lang w:val="en-US"/>
        </w:rPr>
        <w:t>Pre-head:</w:t>
      </w:r>
      <w:r>
        <w:rPr>
          <w:rFonts w:cs="Arial"/>
          <w:sz w:val="20"/>
          <w:lang w:val="en-US"/>
        </w:rPr>
        <w:tab/>
        <w:t>33</w:t>
      </w:r>
      <w:r w:rsidR="0008715A" w:rsidRPr="00DC00BF">
        <w:rPr>
          <w:rFonts w:cs="Arial"/>
          <w:sz w:val="20"/>
          <w:lang w:val="en-US"/>
        </w:rPr>
        <w:t xml:space="preserve"> caracteres</w:t>
      </w:r>
    </w:p>
    <w:p w14:paraId="257FEE03" w14:textId="7B025659" w:rsidR="00D91134" w:rsidRPr="00DC00BF" w:rsidRDefault="00D91134" w:rsidP="00D91134">
      <w:pPr>
        <w:tabs>
          <w:tab w:val="right" w:pos="2410"/>
        </w:tabs>
        <w:rPr>
          <w:rFonts w:cs="Arial"/>
          <w:sz w:val="20"/>
          <w:lang w:val="en-US"/>
        </w:rPr>
      </w:pPr>
      <w:r w:rsidRPr="00DC00BF">
        <w:rPr>
          <w:rFonts w:cs="Arial"/>
          <w:sz w:val="20"/>
          <w:lang w:val="en-US"/>
        </w:rPr>
        <w:t>Texto:</w:t>
      </w:r>
      <w:r w:rsidRPr="00DC00BF">
        <w:rPr>
          <w:rFonts w:cs="Arial"/>
          <w:sz w:val="20"/>
          <w:lang w:val="en-US"/>
        </w:rPr>
        <w:tab/>
      </w:r>
      <w:r w:rsidR="00DC00BF">
        <w:rPr>
          <w:rFonts w:cs="Arial"/>
          <w:sz w:val="20"/>
          <w:lang w:val="en-US"/>
        </w:rPr>
        <w:t>1.445</w:t>
      </w:r>
      <w:r w:rsidRPr="00DC00BF">
        <w:rPr>
          <w:rFonts w:cs="Arial"/>
          <w:sz w:val="20"/>
          <w:lang w:val="en-US"/>
        </w:rPr>
        <w:t xml:space="preserve"> caracteres</w:t>
      </w:r>
    </w:p>
    <w:p w14:paraId="37DAB345" w14:textId="53A4EAB5" w:rsidR="00D91134" w:rsidRPr="00DC00BF" w:rsidRDefault="00DC00BF" w:rsidP="00D91134">
      <w:pPr>
        <w:tabs>
          <w:tab w:val="right" w:pos="2410"/>
        </w:tabs>
        <w:rPr>
          <w:rFonts w:cs="Arial"/>
          <w:sz w:val="20"/>
          <w:lang w:val="en-US"/>
        </w:rPr>
      </w:pPr>
      <w:r>
        <w:rPr>
          <w:rFonts w:cs="Arial"/>
          <w:sz w:val="20"/>
          <w:lang w:val="en-US"/>
        </w:rPr>
        <w:t>Total:</w:t>
      </w:r>
      <w:r>
        <w:rPr>
          <w:rFonts w:cs="Arial"/>
          <w:sz w:val="20"/>
          <w:lang w:val="en-US"/>
        </w:rPr>
        <w:tab/>
        <w:t>1.537</w:t>
      </w:r>
      <w:r w:rsidR="00D91134" w:rsidRPr="00DC00BF">
        <w:rPr>
          <w:rFonts w:cs="Arial"/>
          <w:sz w:val="20"/>
          <w:lang w:val="en-US"/>
        </w:rPr>
        <w:t xml:space="preserve"> caracteres</w:t>
      </w:r>
    </w:p>
    <w:p w14:paraId="5C1C3129" w14:textId="77777777" w:rsidR="00D91134" w:rsidRPr="00DC00BF" w:rsidRDefault="00D91134" w:rsidP="00D91134">
      <w:pPr>
        <w:rPr>
          <w:rFonts w:cs="Arial"/>
          <w:sz w:val="20"/>
          <w:lang w:val="en-US"/>
        </w:rPr>
      </w:pPr>
    </w:p>
    <w:p w14:paraId="4096DC98" w14:textId="77777777" w:rsidR="00F94190" w:rsidRPr="00DC00BF" w:rsidRDefault="00F94190" w:rsidP="00F94190">
      <w:pPr>
        <w:tabs>
          <w:tab w:val="left" w:pos="4020"/>
        </w:tabs>
        <w:rPr>
          <w:noProof/>
          <w:lang w:val="en-US"/>
        </w:rPr>
      </w:pPr>
    </w:p>
    <w:p w14:paraId="76997FDE" w14:textId="77777777" w:rsidR="00874552" w:rsidRPr="00DC00BF" w:rsidRDefault="00874552" w:rsidP="00874552">
      <w:pPr>
        <w:rPr>
          <w:rFonts w:cs="Arial"/>
          <w:sz w:val="20"/>
          <w:lang w:val="en-US"/>
        </w:rPr>
      </w:pPr>
      <w:r w:rsidRPr="00DC00BF">
        <w:rPr>
          <w:rFonts w:cs="Arial"/>
          <w:sz w:val="20"/>
          <w:lang w:val="en-US"/>
        </w:rPr>
        <w:t>HEINRICH KIPP WERK KG</w:t>
      </w:r>
    </w:p>
    <w:p w14:paraId="79CB60E1" w14:textId="77777777" w:rsidR="00874552" w:rsidRPr="00DC00BF" w:rsidRDefault="00874552" w:rsidP="00874552">
      <w:pPr>
        <w:rPr>
          <w:rFonts w:cs="Arial"/>
          <w:sz w:val="20"/>
          <w:lang w:val="en-US"/>
        </w:rPr>
      </w:pPr>
      <w:r w:rsidRPr="00DC00BF">
        <w:rPr>
          <w:rFonts w:cs="Arial"/>
          <w:sz w:val="20"/>
          <w:lang w:val="en-US"/>
        </w:rPr>
        <w:t>Stefanie Beck, Marketing</w:t>
      </w:r>
    </w:p>
    <w:p w14:paraId="0A50940C" w14:textId="77777777" w:rsidR="00874552" w:rsidRPr="00DC00BF" w:rsidRDefault="00874552" w:rsidP="00874552">
      <w:pPr>
        <w:rPr>
          <w:rFonts w:cs="Arial"/>
          <w:sz w:val="20"/>
          <w:lang w:val="en-US"/>
        </w:rPr>
      </w:pPr>
      <w:r w:rsidRPr="00DC00BF">
        <w:rPr>
          <w:rFonts w:cs="Arial"/>
          <w:sz w:val="20"/>
          <w:lang w:val="en-US"/>
        </w:rPr>
        <w:t>Heubergstraße 2</w:t>
      </w:r>
    </w:p>
    <w:p w14:paraId="504C5106" w14:textId="77777777" w:rsidR="00874552" w:rsidRPr="00DC00BF" w:rsidRDefault="00874552" w:rsidP="00874552">
      <w:pPr>
        <w:rPr>
          <w:rFonts w:cs="Arial"/>
          <w:sz w:val="20"/>
          <w:lang w:val="en-US"/>
        </w:rPr>
      </w:pPr>
      <w:proofErr w:type="gramStart"/>
      <w:r w:rsidRPr="00DC00BF">
        <w:rPr>
          <w:rFonts w:cs="Arial"/>
          <w:sz w:val="20"/>
          <w:lang w:val="en-US"/>
        </w:rPr>
        <w:t>72172</w:t>
      </w:r>
      <w:proofErr w:type="gramEnd"/>
      <w:r w:rsidRPr="00DC00BF">
        <w:rPr>
          <w:rFonts w:cs="Arial"/>
          <w:sz w:val="20"/>
          <w:lang w:val="en-US"/>
        </w:rPr>
        <w:t xml:space="preserve"> Sulz am Neckar</w:t>
      </w:r>
    </w:p>
    <w:p w14:paraId="1ACD23A8" w14:textId="77777777" w:rsidR="00874552" w:rsidRPr="00DC00BF" w:rsidRDefault="00874552" w:rsidP="00874552">
      <w:pPr>
        <w:rPr>
          <w:rFonts w:cs="Arial"/>
          <w:sz w:val="20"/>
          <w:lang w:val="en-US"/>
        </w:rPr>
      </w:pPr>
    </w:p>
    <w:p w14:paraId="4ADD9AA7" w14:textId="77777777" w:rsidR="00874552" w:rsidRPr="00DC00BF" w:rsidRDefault="00CA5326" w:rsidP="00874552">
      <w:pPr>
        <w:rPr>
          <w:rFonts w:cs="Arial"/>
          <w:sz w:val="20"/>
          <w:lang w:val="en-US"/>
        </w:rPr>
      </w:pPr>
      <w:r w:rsidRPr="00DC00BF">
        <w:rPr>
          <w:rFonts w:cs="Arial"/>
          <w:sz w:val="20"/>
          <w:lang w:val="en-US"/>
        </w:rPr>
        <w:lastRenderedPageBreak/>
        <w:t>Telefone: +49 7454 793-30</w:t>
      </w:r>
    </w:p>
    <w:p w14:paraId="5ED5A354" w14:textId="246D0BB4" w:rsidR="00CA5326" w:rsidRPr="00DC00BF" w:rsidRDefault="00874552">
      <w:pPr>
        <w:rPr>
          <w:sz w:val="20"/>
          <w:szCs w:val="20"/>
        </w:rPr>
      </w:pPr>
      <w:r w:rsidRPr="00DC00BF">
        <w:rPr>
          <w:sz w:val="20"/>
          <w:szCs w:val="20"/>
        </w:rPr>
        <w:t xml:space="preserve">E-mail: stefanie.beck@kipp.com </w:t>
      </w:r>
      <w:bookmarkStart w:id="0" w:name="_GoBack"/>
      <w:bookmarkEnd w:id="0"/>
    </w:p>
    <w:p w14:paraId="44E7AA80" w14:textId="77777777" w:rsidR="00CA5326" w:rsidRPr="003274EE" w:rsidRDefault="00CA5326" w:rsidP="00CA5326">
      <w:pPr>
        <w:pStyle w:val="berschrift3"/>
      </w:pPr>
      <w:r>
        <w:lastRenderedPageBreak/>
        <w:t>Outras informações e fotos de imprensa</w:t>
      </w:r>
    </w:p>
    <w:p w14:paraId="0684DA4D" w14:textId="5507D689" w:rsidR="00CA5326" w:rsidRPr="00DC00BF" w:rsidRDefault="00DC00BF" w:rsidP="00CA5326">
      <w:pPr>
        <w:rPr>
          <w:sz w:val="20"/>
          <w:lang w:val="en-US"/>
        </w:rPr>
      </w:pPr>
      <w:r>
        <w:rPr>
          <w:sz w:val="20"/>
          <w:lang w:val="en-US"/>
        </w:rPr>
        <w:t>Veja www.kipp.pt</w:t>
      </w:r>
      <w:r w:rsidR="00CA5326" w:rsidRPr="00DC00BF">
        <w:rPr>
          <w:sz w:val="20"/>
          <w:lang w:val="en-US"/>
        </w:rPr>
        <w:t>, região: Alemanha, Rubrica: News/área de imprensa</w:t>
      </w:r>
    </w:p>
    <w:p w14:paraId="31B781BB" w14:textId="77777777" w:rsidR="00CA5326" w:rsidRPr="00DC00BF" w:rsidRDefault="00CA5326" w:rsidP="00CA5326">
      <w:pPr>
        <w:rPr>
          <w:sz w:val="20"/>
          <w:lang w:val="en-US"/>
        </w:rPr>
      </w:pPr>
    </w:p>
    <w:p w14:paraId="67F8C0E4" w14:textId="77777777" w:rsidR="00CA5326" w:rsidRPr="00DC00BF" w:rsidRDefault="00CA5326" w:rsidP="00CA5326">
      <w:pPr>
        <w:rPr>
          <w:rFonts w:cs="Arial"/>
          <w:sz w:val="20"/>
          <w:szCs w:val="20"/>
          <w:lang w:val="en-US"/>
        </w:rPr>
      </w:pPr>
    </w:p>
    <w:p w14:paraId="4D0CE27D" w14:textId="77777777" w:rsidR="00CA5326" w:rsidRDefault="00CA5326" w:rsidP="00CA5326">
      <w:pPr>
        <w:pStyle w:val="berschrift3"/>
      </w:pPr>
      <w:r>
        <w:t>Fotos</w:t>
      </w:r>
      <w:r>
        <w:tab/>
      </w:r>
    </w:p>
    <w:p w14:paraId="0259B253" w14:textId="77777777" w:rsidR="00CA5326" w:rsidRPr="008A4372" w:rsidRDefault="00CA5326" w:rsidP="00CA5326"/>
    <w:tbl>
      <w:tblPr>
        <w:tblW w:w="9885" w:type="dxa"/>
        <w:tblInd w:w="113" w:type="dxa"/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4988"/>
        <w:gridCol w:w="4897"/>
      </w:tblGrid>
      <w:tr w:rsidR="00C714E7" w:rsidRPr="00BA30D1" w14:paraId="447B1979" w14:textId="77777777" w:rsidTr="00C22334">
        <w:tc>
          <w:tcPr>
            <w:tcW w:w="5699" w:type="dxa"/>
          </w:tcPr>
          <w:p w14:paraId="461AD69F" w14:textId="4F037B2F" w:rsidR="00CA5326" w:rsidRPr="00DC00BF" w:rsidRDefault="000B3A09" w:rsidP="00190126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DC00BF">
              <w:rPr>
                <w:rFonts w:eastAsia="Calibri" w:cs="Arial"/>
                <w:sz w:val="20"/>
                <w:szCs w:val="20"/>
                <w:lang w:val="en-US"/>
              </w:rPr>
              <w:t>A KIPP otimizou batentes de aperto para perfis com ranhuras</w:t>
            </w:r>
            <w:r w:rsidRPr="00DC00BF">
              <w:rPr>
                <w:sz w:val="20"/>
                <w:lang w:val="en-US"/>
              </w:rPr>
              <w:br/>
              <w:t xml:space="preserve">Foto: KIPP </w:t>
            </w:r>
          </w:p>
          <w:p w14:paraId="0EA85BA6" w14:textId="77777777" w:rsidR="00CA5326" w:rsidRPr="00362FE9" w:rsidRDefault="00411B55" w:rsidP="00190126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926B4D" wp14:editId="4A2B5BD6">
                  <wp:extent cx="2519680" cy="2519680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KIPP_Klemmanschlag_Nutprofile_K1214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6" w:type="dxa"/>
          </w:tcPr>
          <w:p w14:paraId="6BD0972A" w14:textId="77777777" w:rsidR="00CA5326" w:rsidRDefault="00CA5326" w:rsidP="009E0077">
            <w:pPr>
              <w:ind w:left="-250"/>
              <w:rPr>
                <w:noProof/>
                <w:sz w:val="20"/>
              </w:rPr>
            </w:pPr>
          </w:p>
          <w:p w14:paraId="3C441860" w14:textId="77777777" w:rsidR="00CA5326" w:rsidRDefault="00CA5326" w:rsidP="009E0077">
            <w:pPr>
              <w:ind w:hanging="250"/>
              <w:rPr>
                <w:noProof/>
                <w:sz w:val="20"/>
              </w:rPr>
            </w:pPr>
          </w:p>
          <w:p w14:paraId="1B67E6EE" w14:textId="77777777" w:rsidR="00CA5326" w:rsidRDefault="00CA5326" w:rsidP="00E74ED7">
            <w:pPr>
              <w:ind w:left="-249"/>
              <w:rPr>
                <w:noProof/>
                <w:sz w:val="20"/>
              </w:rPr>
            </w:pPr>
          </w:p>
          <w:p w14:paraId="7C12F9F2" w14:textId="77777777" w:rsidR="00CA5326" w:rsidRDefault="00CA5326" w:rsidP="002B249D">
            <w:pPr>
              <w:rPr>
                <w:noProof/>
                <w:sz w:val="20"/>
              </w:rPr>
            </w:pPr>
          </w:p>
          <w:p w14:paraId="7F0BAFAC" w14:textId="77777777" w:rsidR="00CA5326" w:rsidRDefault="00CA5326" w:rsidP="002B249D">
            <w:pPr>
              <w:rPr>
                <w:sz w:val="20"/>
              </w:rPr>
            </w:pPr>
          </w:p>
          <w:p w14:paraId="7E5F55F0" w14:textId="77777777" w:rsidR="00554439" w:rsidRPr="00DB3BF0" w:rsidRDefault="00CA5326" w:rsidP="00597BAA">
            <w:pPr>
              <w:rPr>
                <w:sz w:val="20"/>
              </w:rPr>
            </w:pPr>
            <w:r>
              <w:rPr>
                <w:sz w:val="20"/>
              </w:rPr>
              <w:t xml:space="preserve">Arquivo de imagem: </w:t>
            </w:r>
          </w:p>
          <w:p w14:paraId="2A70CD27" w14:textId="73DCC3DC" w:rsidR="00CA5326" w:rsidRPr="00DB3BF0" w:rsidRDefault="00411B55" w:rsidP="00F170CD">
            <w:pPr>
              <w:rPr>
                <w:sz w:val="20"/>
              </w:rPr>
            </w:pPr>
            <w:r>
              <w:rPr>
                <w:sz w:val="20"/>
              </w:rPr>
              <w:t>KIPP_Klemmanschlag_Nutprofile_K1214_300dpi.jpg</w:t>
            </w:r>
          </w:p>
        </w:tc>
      </w:tr>
    </w:tbl>
    <w:p w14:paraId="418D1BA9" w14:textId="77777777" w:rsidR="00925271" w:rsidRDefault="00925271" w:rsidP="00CA5326">
      <w:pPr>
        <w:ind w:left="-79"/>
        <w:rPr>
          <w:sz w:val="16"/>
          <w:szCs w:val="16"/>
        </w:rPr>
      </w:pPr>
    </w:p>
    <w:p w14:paraId="26FA38F6" w14:textId="77777777" w:rsidR="00C22334" w:rsidRPr="00DB3BF0" w:rsidRDefault="00C22334" w:rsidP="00CA5326">
      <w:pPr>
        <w:ind w:left="-79"/>
        <w:rPr>
          <w:sz w:val="16"/>
          <w:szCs w:val="16"/>
        </w:rPr>
      </w:pPr>
    </w:p>
    <w:p w14:paraId="5D6B0107" w14:textId="77777777" w:rsidR="00925271" w:rsidRPr="00DB3BF0" w:rsidRDefault="00925271" w:rsidP="00CA5326">
      <w:pPr>
        <w:ind w:left="-79"/>
        <w:rPr>
          <w:sz w:val="16"/>
          <w:szCs w:val="16"/>
        </w:rPr>
      </w:pPr>
    </w:p>
    <w:tbl>
      <w:tblPr>
        <w:tblW w:w="0" w:type="auto"/>
        <w:tblInd w:w="113" w:type="dxa"/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4565"/>
        <w:gridCol w:w="236"/>
        <w:gridCol w:w="331"/>
        <w:gridCol w:w="3822"/>
      </w:tblGrid>
      <w:tr w:rsidR="00E74ED7" w:rsidRPr="00BA30D1" w14:paraId="11AC4903" w14:textId="77777777" w:rsidTr="009A7227">
        <w:tc>
          <w:tcPr>
            <w:tcW w:w="4565" w:type="dxa"/>
          </w:tcPr>
          <w:p w14:paraId="6D135330" w14:textId="031D4E85" w:rsidR="00E74ED7" w:rsidRPr="00DC00BF" w:rsidRDefault="000B3A09" w:rsidP="004E518E">
            <w:pPr>
              <w:rPr>
                <w:sz w:val="20"/>
                <w:lang w:val="en-US"/>
              </w:rPr>
            </w:pPr>
            <w:r w:rsidRPr="00DC00BF">
              <w:rPr>
                <w:sz w:val="20"/>
                <w:lang w:val="en-US"/>
              </w:rPr>
              <w:t xml:space="preserve">A KIPP otimizou batentes de aperto para perfis com ranhuras O aperto do batente ocorre ao girar o manípulo em estrela. </w:t>
            </w:r>
          </w:p>
          <w:p w14:paraId="46DB15D3" w14:textId="6750D13B" w:rsidR="00E74ED7" w:rsidRPr="009A7227" w:rsidRDefault="00E74ED7" w:rsidP="00287B36">
            <w:pPr>
              <w:rPr>
                <w:sz w:val="20"/>
              </w:rPr>
            </w:pPr>
            <w:r>
              <w:rPr>
                <w:sz w:val="20"/>
              </w:rPr>
              <w:t xml:space="preserve">Foto: KIPP </w:t>
            </w:r>
          </w:p>
          <w:p w14:paraId="5DE1172B" w14:textId="31ADA7C5" w:rsidR="00E74ED7" w:rsidRPr="00362FE9" w:rsidRDefault="00E74ED7" w:rsidP="00F85ED0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0A0C20" wp14:editId="487068FB">
                  <wp:extent cx="2127504" cy="3127248"/>
                  <wp:effectExtent l="0" t="0" r="635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KIPP_Klemmanschlag_Nutprofile_K1214_Anwendung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504" cy="3127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36A3A9F7" w14:textId="77777777" w:rsidR="00E74ED7" w:rsidRDefault="00E74ED7" w:rsidP="00F85ED0">
            <w:pPr>
              <w:rPr>
                <w:noProof/>
                <w:sz w:val="20"/>
              </w:rPr>
            </w:pPr>
          </w:p>
        </w:tc>
        <w:tc>
          <w:tcPr>
            <w:tcW w:w="331" w:type="dxa"/>
          </w:tcPr>
          <w:p w14:paraId="72DD1D0A" w14:textId="77777777" w:rsidR="00E74ED7" w:rsidRDefault="00E74ED7" w:rsidP="00E74ED7">
            <w:pPr>
              <w:rPr>
                <w:noProof/>
                <w:sz w:val="20"/>
              </w:rPr>
            </w:pPr>
          </w:p>
        </w:tc>
        <w:tc>
          <w:tcPr>
            <w:tcW w:w="3822" w:type="dxa"/>
          </w:tcPr>
          <w:p w14:paraId="5BDEC431" w14:textId="77777777" w:rsidR="00E74ED7" w:rsidRDefault="00E74ED7" w:rsidP="00E74ED7">
            <w:pPr>
              <w:ind w:left="-257"/>
              <w:rPr>
                <w:noProof/>
                <w:sz w:val="20"/>
              </w:rPr>
            </w:pPr>
          </w:p>
          <w:p w14:paraId="0C1974C7" w14:textId="77777777" w:rsidR="00E74ED7" w:rsidRDefault="00E74ED7" w:rsidP="00F85ED0">
            <w:pPr>
              <w:rPr>
                <w:noProof/>
                <w:sz w:val="20"/>
              </w:rPr>
            </w:pPr>
          </w:p>
          <w:p w14:paraId="22BAFC8E" w14:textId="77777777" w:rsidR="00E74ED7" w:rsidRDefault="00E74ED7" w:rsidP="00F85ED0">
            <w:pPr>
              <w:rPr>
                <w:sz w:val="20"/>
              </w:rPr>
            </w:pPr>
          </w:p>
          <w:p w14:paraId="7A77A0C2" w14:textId="77777777" w:rsidR="00E74ED7" w:rsidRPr="00C05DEB" w:rsidRDefault="00E74ED7" w:rsidP="00C330AC">
            <w:pPr>
              <w:ind w:left="-108"/>
              <w:rPr>
                <w:sz w:val="20"/>
              </w:rPr>
            </w:pPr>
            <w:r>
              <w:rPr>
                <w:sz w:val="20"/>
              </w:rPr>
              <w:t xml:space="preserve">Arquivo de imagem: </w:t>
            </w:r>
          </w:p>
          <w:p w14:paraId="5A5F3620" w14:textId="3251A314" w:rsidR="00E74ED7" w:rsidRPr="00C05DEB" w:rsidRDefault="00E74ED7" w:rsidP="00C330AC">
            <w:pPr>
              <w:ind w:left="-108"/>
              <w:rPr>
                <w:sz w:val="20"/>
              </w:rPr>
            </w:pPr>
            <w:r>
              <w:rPr>
                <w:sz w:val="20"/>
              </w:rPr>
              <w:t>KIPP_Klemmanschlag_Nutprofile_K1214_Anwendung.jpg</w:t>
            </w:r>
          </w:p>
        </w:tc>
      </w:tr>
    </w:tbl>
    <w:p w14:paraId="1979B456" w14:textId="77777777" w:rsidR="000435B3" w:rsidRDefault="000435B3" w:rsidP="00CA5326">
      <w:pPr>
        <w:ind w:left="-79"/>
        <w:rPr>
          <w:sz w:val="16"/>
          <w:szCs w:val="16"/>
        </w:rPr>
      </w:pPr>
    </w:p>
    <w:p w14:paraId="19FA854F" w14:textId="77777777" w:rsidR="002B1DF9" w:rsidRDefault="002B1DF9" w:rsidP="00CA5326">
      <w:pPr>
        <w:ind w:left="-79"/>
        <w:rPr>
          <w:sz w:val="16"/>
          <w:szCs w:val="16"/>
        </w:rPr>
      </w:pPr>
    </w:p>
    <w:p w14:paraId="3AD8E4FE" w14:textId="77777777" w:rsidR="00CA5326" w:rsidRPr="00DC00BF" w:rsidRDefault="00CA5326" w:rsidP="00CA5326">
      <w:pPr>
        <w:ind w:left="-79"/>
        <w:rPr>
          <w:sz w:val="16"/>
          <w:szCs w:val="16"/>
          <w:lang w:val="en-US"/>
        </w:rPr>
      </w:pPr>
      <w:r w:rsidRPr="00DC00BF">
        <w:rPr>
          <w:sz w:val="16"/>
          <w:szCs w:val="16"/>
          <w:lang w:val="en-US"/>
        </w:rPr>
        <w:t xml:space="preserve">Direitos de imagem: autorizado para publicação isenta de licença e de honorários em meios de comunicação especializados. </w:t>
      </w:r>
    </w:p>
    <w:p w14:paraId="2DD5AE14" w14:textId="77777777" w:rsidR="00783817" w:rsidRPr="00DC00BF" w:rsidRDefault="00CA5326" w:rsidP="00326861">
      <w:pPr>
        <w:ind w:left="-79"/>
        <w:rPr>
          <w:sz w:val="16"/>
          <w:szCs w:val="16"/>
          <w:lang w:val="en-US"/>
        </w:rPr>
      </w:pPr>
      <w:r w:rsidRPr="00DC00BF">
        <w:rPr>
          <w:sz w:val="16"/>
          <w:szCs w:val="16"/>
          <w:lang w:val="en-US"/>
        </w:rPr>
        <w:t xml:space="preserve">Com o pedido de indicação de fonte e documento. </w:t>
      </w:r>
    </w:p>
    <w:sectPr w:rsidR="00783817" w:rsidRPr="00DC00BF" w:rsidSect="00783817">
      <w:footerReference w:type="default" r:id="rId10"/>
      <w:pgSz w:w="11906" w:h="16838"/>
      <w:pgMar w:top="1985" w:right="992" w:bottom="85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FEA671" w14:textId="77777777" w:rsidR="00D93A10" w:rsidRDefault="00D93A10">
      <w:r>
        <w:separator/>
      </w:r>
    </w:p>
  </w:endnote>
  <w:endnote w:type="continuationSeparator" w:id="0">
    <w:p w14:paraId="783B5388" w14:textId="77777777" w:rsidR="00D93A10" w:rsidRDefault="00D93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D9A4A3" w14:textId="77777777" w:rsidR="00677302" w:rsidRPr="000E5B84" w:rsidRDefault="00677302" w:rsidP="00783817">
    <w:pPr>
      <w:jc w:val="right"/>
      <w:rPr>
        <w:rStyle w:val="Seitenzahl"/>
      </w:rPr>
    </w:pPr>
    <w:r w:rsidRPr="000E5B84">
      <w:rPr>
        <w:rStyle w:val="Seitenzahl"/>
      </w:rPr>
      <w:fldChar w:fldCharType="begin"/>
    </w:r>
    <w:r w:rsidRPr="000E5B84">
      <w:rPr>
        <w:rStyle w:val="Seitenzahl"/>
      </w:rPr>
      <w:instrText xml:space="preserve"> </w:instrText>
    </w:r>
    <w:r>
      <w:rPr>
        <w:rStyle w:val="Seitenzahl"/>
      </w:rPr>
      <w:instrText>PAGE</w:instrText>
    </w:r>
    <w:r w:rsidRPr="000E5B84">
      <w:rPr>
        <w:rStyle w:val="Seitenzahl"/>
      </w:rPr>
      <w:instrText xml:space="preserve"> </w:instrText>
    </w:r>
    <w:r w:rsidRPr="000E5B84">
      <w:rPr>
        <w:rStyle w:val="Seitenzahl"/>
      </w:rPr>
      <w:fldChar w:fldCharType="separate"/>
    </w:r>
    <w:r w:rsidR="00DC00BF">
      <w:rPr>
        <w:rStyle w:val="Seitenzahl"/>
        <w:noProof/>
      </w:rPr>
      <w:t>1</w:t>
    </w:r>
    <w:r w:rsidRPr="000E5B84"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C4926D" w14:textId="77777777" w:rsidR="00D93A10" w:rsidRDefault="00D93A10">
      <w:r>
        <w:separator/>
      </w:r>
    </w:p>
  </w:footnote>
  <w:footnote w:type="continuationSeparator" w:id="0">
    <w:p w14:paraId="7DCFC681" w14:textId="77777777" w:rsidR="00D93A10" w:rsidRDefault="00D93A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C14ACD"/>
    <w:multiLevelType w:val="hybridMultilevel"/>
    <w:tmpl w:val="C1DA7DD4"/>
    <w:lvl w:ilvl="0" w:tplc="9D7CA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A431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1482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9CF5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36A3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C09A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6090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68B0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1AD2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3DC6169"/>
    <w:multiLevelType w:val="hybridMultilevel"/>
    <w:tmpl w:val="D95E6D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FD73EC"/>
    <w:multiLevelType w:val="hybridMultilevel"/>
    <w:tmpl w:val="B25C0FE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de-DE" w:vendorID="6" w:dllVersion="2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035"/>
    <w:rsid w:val="00005272"/>
    <w:rsid w:val="00021C53"/>
    <w:rsid w:val="000310DE"/>
    <w:rsid w:val="0004350D"/>
    <w:rsid w:val="000435B3"/>
    <w:rsid w:val="000549C5"/>
    <w:rsid w:val="00056683"/>
    <w:rsid w:val="00065FAA"/>
    <w:rsid w:val="00075035"/>
    <w:rsid w:val="0008715A"/>
    <w:rsid w:val="0009007F"/>
    <w:rsid w:val="00096AA0"/>
    <w:rsid w:val="000B2E15"/>
    <w:rsid w:val="000B3A09"/>
    <w:rsid w:val="000C2BCB"/>
    <w:rsid w:val="000C3B6A"/>
    <w:rsid w:val="000F704C"/>
    <w:rsid w:val="00103BD2"/>
    <w:rsid w:val="001329B3"/>
    <w:rsid w:val="001339DE"/>
    <w:rsid w:val="00155689"/>
    <w:rsid w:val="00156D91"/>
    <w:rsid w:val="00173AD9"/>
    <w:rsid w:val="00190126"/>
    <w:rsid w:val="001A3A33"/>
    <w:rsid w:val="001C1C06"/>
    <w:rsid w:val="001C2E0F"/>
    <w:rsid w:val="001C5D12"/>
    <w:rsid w:val="001F595A"/>
    <w:rsid w:val="00205AB3"/>
    <w:rsid w:val="002073C5"/>
    <w:rsid w:val="00210153"/>
    <w:rsid w:val="00210655"/>
    <w:rsid w:val="00220A9D"/>
    <w:rsid w:val="00230AB5"/>
    <w:rsid w:val="002518F1"/>
    <w:rsid w:val="002569BC"/>
    <w:rsid w:val="002652E9"/>
    <w:rsid w:val="00266B69"/>
    <w:rsid w:val="00287B36"/>
    <w:rsid w:val="0029081D"/>
    <w:rsid w:val="00295C9A"/>
    <w:rsid w:val="002A041D"/>
    <w:rsid w:val="002A3A5D"/>
    <w:rsid w:val="002B1DF9"/>
    <w:rsid w:val="002B6803"/>
    <w:rsid w:val="002D7C6C"/>
    <w:rsid w:val="002E6B28"/>
    <w:rsid w:val="002E6D66"/>
    <w:rsid w:val="002F063A"/>
    <w:rsid w:val="003143CF"/>
    <w:rsid w:val="00315E40"/>
    <w:rsid w:val="0032074C"/>
    <w:rsid w:val="00326861"/>
    <w:rsid w:val="003336E6"/>
    <w:rsid w:val="003376F5"/>
    <w:rsid w:val="00344FF7"/>
    <w:rsid w:val="00357E6C"/>
    <w:rsid w:val="0037570D"/>
    <w:rsid w:val="00392FF3"/>
    <w:rsid w:val="00395CC5"/>
    <w:rsid w:val="003A002F"/>
    <w:rsid w:val="003A5E4E"/>
    <w:rsid w:val="003A7D55"/>
    <w:rsid w:val="003B00AD"/>
    <w:rsid w:val="003B74D5"/>
    <w:rsid w:val="003C1386"/>
    <w:rsid w:val="00410358"/>
    <w:rsid w:val="00411B55"/>
    <w:rsid w:val="00415C62"/>
    <w:rsid w:val="0042198B"/>
    <w:rsid w:val="00434B17"/>
    <w:rsid w:val="004370BE"/>
    <w:rsid w:val="004375D2"/>
    <w:rsid w:val="0044492E"/>
    <w:rsid w:val="00444C4B"/>
    <w:rsid w:val="00446F2F"/>
    <w:rsid w:val="00451752"/>
    <w:rsid w:val="0045707C"/>
    <w:rsid w:val="004711A8"/>
    <w:rsid w:val="00496087"/>
    <w:rsid w:val="00496518"/>
    <w:rsid w:val="004B015B"/>
    <w:rsid w:val="004C2291"/>
    <w:rsid w:val="004D045D"/>
    <w:rsid w:val="004D16DA"/>
    <w:rsid w:val="004D4A97"/>
    <w:rsid w:val="004E518E"/>
    <w:rsid w:val="004F447B"/>
    <w:rsid w:val="004F6FFA"/>
    <w:rsid w:val="00500BD4"/>
    <w:rsid w:val="005100EC"/>
    <w:rsid w:val="00532B32"/>
    <w:rsid w:val="00535106"/>
    <w:rsid w:val="00536A35"/>
    <w:rsid w:val="005461CE"/>
    <w:rsid w:val="0054624E"/>
    <w:rsid w:val="00554439"/>
    <w:rsid w:val="0055746C"/>
    <w:rsid w:val="00565FDC"/>
    <w:rsid w:val="0058013D"/>
    <w:rsid w:val="005814C8"/>
    <w:rsid w:val="005904DC"/>
    <w:rsid w:val="00595330"/>
    <w:rsid w:val="00597BAA"/>
    <w:rsid w:val="005A5A84"/>
    <w:rsid w:val="005C35AA"/>
    <w:rsid w:val="005C36E8"/>
    <w:rsid w:val="005D170A"/>
    <w:rsid w:val="005D5624"/>
    <w:rsid w:val="005D6098"/>
    <w:rsid w:val="005F1F4D"/>
    <w:rsid w:val="005F2791"/>
    <w:rsid w:val="00601B0A"/>
    <w:rsid w:val="00612A8E"/>
    <w:rsid w:val="00616E71"/>
    <w:rsid w:val="0062373C"/>
    <w:rsid w:val="0063409C"/>
    <w:rsid w:val="00645FBD"/>
    <w:rsid w:val="00650A7F"/>
    <w:rsid w:val="00677302"/>
    <w:rsid w:val="00690787"/>
    <w:rsid w:val="00696A4E"/>
    <w:rsid w:val="006D19D2"/>
    <w:rsid w:val="006D4F61"/>
    <w:rsid w:val="006E09D7"/>
    <w:rsid w:val="006E623B"/>
    <w:rsid w:val="006E7A95"/>
    <w:rsid w:val="006F0483"/>
    <w:rsid w:val="006F12D8"/>
    <w:rsid w:val="006F7A49"/>
    <w:rsid w:val="00703CBD"/>
    <w:rsid w:val="00713FCC"/>
    <w:rsid w:val="00721B9E"/>
    <w:rsid w:val="0072422F"/>
    <w:rsid w:val="0072424C"/>
    <w:rsid w:val="0073096B"/>
    <w:rsid w:val="00744C8F"/>
    <w:rsid w:val="00755A99"/>
    <w:rsid w:val="007612CB"/>
    <w:rsid w:val="007677AC"/>
    <w:rsid w:val="0077742E"/>
    <w:rsid w:val="007819BF"/>
    <w:rsid w:val="007827D1"/>
    <w:rsid w:val="007833B0"/>
    <w:rsid w:val="00783817"/>
    <w:rsid w:val="00786BAF"/>
    <w:rsid w:val="00791ECF"/>
    <w:rsid w:val="007A1191"/>
    <w:rsid w:val="007B482A"/>
    <w:rsid w:val="007C52A3"/>
    <w:rsid w:val="007C531D"/>
    <w:rsid w:val="007E0BA7"/>
    <w:rsid w:val="007E0E6C"/>
    <w:rsid w:val="007E69EF"/>
    <w:rsid w:val="007F4512"/>
    <w:rsid w:val="00814DDB"/>
    <w:rsid w:val="00831AFC"/>
    <w:rsid w:val="0083468D"/>
    <w:rsid w:val="008361A0"/>
    <w:rsid w:val="00853954"/>
    <w:rsid w:val="0085486A"/>
    <w:rsid w:val="00856392"/>
    <w:rsid w:val="00866A85"/>
    <w:rsid w:val="00870A4B"/>
    <w:rsid w:val="00873431"/>
    <w:rsid w:val="00874552"/>
    <w:rsid w:val="00874D03"/>
    <w:rsid w:val="0088039F"/>
    <w:rsid w:val="00883042"/>
    <w:rsid w:val="00884707"/>
    <w:rsid w:val="00886B08"/>
    <w:rsid w:val="0089051A"/>
    <w:rsid w:val="00890EF8"/>
    <w:rsid w:val="008933EC"/>
    <w:rsid w:val="008B0E60"/>
    <w:rsid w:val="008B1CC1"/>
    <w:rsid w:val="00900E9C"/>
    <w:rsid w:val="00922B88"/>
    <w:rsid w:val="00925271"/>
    <w:rsid w:val="009279A4"/>
    <w:rsid w:val="00933733"/>
    <w:rsid w:val="00943D25"/>
    <w:rsid w:val="0095367D"/>
    <w:rsid w:val="0095515C"/>
    <w:rsid w:val="009623CB"/>
    <w:rsid w:val="00967469"/>
    <w:rsid w:val="00972AB9"/>
    <w:rsid w:val="009A1A57"/>
    <w:rsid w:val="009A3246"/>
    <w:rsid w:val="009A7227"/>
    <w:rsid w:val="009C0C09"/>
    <w:rsid w:val="009C763F"/>
    <w:rsid w:val="009D0204"/>
    <w:rsid w:val="009E0077"/>
    <w:rsid w:val="009E504F"/>
    <w:rsid w:val="009E513A"/>
    <w:rsid w:val="009F4001"/>
    <w:rsid w:val="00A16E43"/>
    <w:rsid w:val="00A35CA2"/>
    <w:rsid w:val="00A372BE"/>
    <w:rsid w:val="00A3733C"/>
    <w:rsid w:val="00A3789F"/>
    <w:rsid w:val="00A42E0D"/>
    <w:rsid w:val="00A60D1F"/>
    <w:rsid w:val="00A6226B"/>
    <w:rsid w:val="00A74BF6"/>
    <w:rsid w:val="00A84517"/>
    <w:rsid w:val="00A94282"/>
    <w:rsid w:val="00AA3FDA"/>
    <w:rsid w:val="00AB0D79"/>
    <w:rsid w:val="00AD09BD"/>
    <w:rsid w:val="00AD54D2"/>
    <w:rsid w:val="00AE0177"/>
    <w:rsid w:val="00AE0F9B"/>
    <w:rsid w:val="00AF76CF"/>
    <w:rsid w:val="00B11090"/>
    <w:rsid w:val="00B234EB"/>
    <w:rsid w:val="00B54720"/>
    <w:rsid w:val="00B565CA"/>
    <w:rsid w:val="00B57513"/>
    <w:rsid w:val="00B6627A"/>
    <w:rsid w:val="00B66C13"/>
    <w:rsid w:val="00B77102"/>
    <w:rsid w:val="00B8324B"/>
    <w:rsid w:val="00BA30D1"/>
    <w:rsid w:val="00BA6B79"/>
    <w:rsid w:val="00BA7DFB"/>
    <w:rsid w:val="00BB5701"/>
    <w:rsid w:val="00BB5B95"/>
    <w:rsid w:val="00BB7BCC"/>
    <w:rsid w:val="00BD6415"/>
    <w:rsid w:val="00BE3937"/>
    <w:rsid w:val="00BF3FE9"/>
    <w:rsid w:val="00C05DEB"/>
    <w:rsid w:val="00C14180"/>
    <w:rsid w:val="00C1463D"/>
    <w:rsid w:val="00C22334"/>
    <w:rsid w:val="00C2391F"/>
    <w:rsid w:val="00C330AC"/>
    <w:rsid w:val="00C35191"/>
    <w:rsid w:val="00C36028"/>
    <w:rsid w:val="00C43B71"/>
    <w:rsid w:val="00C56C4B"/>
    <w:rsid w:val="00C714E7"/>
    <w:rsid w:val="00C7668C"/>
    <w:rsid w:val="00C873E0"/>
    <w:rsid w:val="00C97127"/>
    <w:rsid w:val="00CA13FC"/>
    <w:rsid w:val="00CA5326"/>
    <w:rsid w:val="00CC06B6"/>
    <w:rsid w:val="00CC5D7A"/>
    <w:rsid w:val="00CD0EC0"/>
    <w:rsid w:val="00CE3033"/>
    <w:rsid w:val="00D12D81"/>
    <w:rsid w:val="00D158CF"/>
    <w:rsid w:val="00D237A6"/>
    <w:rsid w:val="00D610DD"/>
    <w:rsid w:val="00D74F3D"/>
    <w:rsid w:val="00D8242D"/>
    <w:rsid w:val="00D8580E"/>
    <w:rsid w:val="00D85EBD"/>
    <w:rsid w:val="00D90044"/>
    <w:rsid w:val="00D91134"/>
    <w:rsid w:val="00D93A10"/>
    <w:rsid w:val="00DA6035"/>
    <w:rsid w:val="00DA738D"/>
    <w:rsid w:val="00DB120E"/>
    <w:rsid w:val="00DB3BF0"/>
    <w:rsid w:val="00DC00BF"/>
    <w:rsid w:val="00DC1315"/>
    <w:rsid w:val="00DD7BB1"/>
    <w:rsid w:val="00DE4BEA"/>
    <w:rsid w:val="00DE744E"/>
    <w:rsid w:val="00E02875"/>
    <w:rsid w:val="00E049CC"/>
    <w:rsid w:val="00E11211"/>
    <w:rsid w:val="00E318C4"/>
    <w:rsid w:val="00E31E1D"/>
    <w:rsid w:val="00E60EE7"/>
    <w:rsid w:val="00E74ED7"/>
    <w:rsid w:val="00E767F8"/>
    <w:rsid w:val="00E86C10"/>
    <w:rsid w:val="00E94511"/>
    <w:rsid w:val="00EA130D"/>
    <w:rsid w:val="00EA603D"/>
    <w:rsid w:val="00EB5159"/>
    <w:rsid w:val="00EC0016"/>
    <w:rsid w:val="00EC00AB"/>
    <w:rsid w:val="00EC7BC4"/>
    <w:rsid w:val="00EC7F30"/>
    <w:rsid w:val="00ED3596"/>
    <w:rsid w:val="00ED3875"/>
    <w:rsid w:val="00ED4CB2"/>
    <w:rsid w:val="00ED6205"/>
    <w:rsid w:val="00F03034"/>
    <w:rsid w:val="00F0556A"/>
    <w:rsid w:val="00F101F6"/>
    <w:rsid w:val="00F117B2"/>
    <w:rsid w:val="00F14B6F"/>
    <w:rsid w:val="00F170CD"/>
    <w:rsid w:val="00F20DD1"/>
    <w:rsid w:val="00F25A67"/>
    <w:rsid w:val="00F31E3B"/>
    <w:rsid w:val="00F33E36"/>
    <w:rsid w:val="00F41FF2"/>
    <w:rsid w:val="00F720F0"/>
    <w:rsid w:val="00F87931"/>
    <w:rsid w:val="00F94190"/>
    <w:rsid w:val="00FC170A"/>
    <w:rsid w:val="00FD5353"/>
    <w:rsid w:val="00FF6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  <w14:docId w14:val="1C36C6B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261CC2"/>
    <w:pPr>
      <w:keepNext/>
      <w:spacing w:before="240" w:after="60"/>
      <w:outlineLvl w:val="0"/>
    </w:pPr>
    <w:rPr>
      <w:rFonts w:eastAsia="Times"/>
      <w:b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3274EE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261CC2"/>
    <w:pPr>
      <w:keepNext/>
      <w:outlineLvl w:val="2"/>
    </w:pPr>
    <w:rPr>
      <w:rFonts w:eastAsia="Times"/>
      <w:b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0E5B84"/>
    <w:rPr>
      <w:rFonts w:ascii="Arial" w:hAnsi="Arial"/>
      <w:color w:val="0000FF"/>
      <w:sz w:val="22"/>
      <w:u w:val="single"/>
    </w:rPr>
  </w:style>
  <w:style w:type="character" w:styleId="Kommentarzeichen">
    <w:name w:val="annotation reference"/>
    <w:uiPriority w:val="99"/>
    <w:semiHidden/>
    <w:unhideWhenUsed/>
    <w:rsid w:val="00060994"/>
    <w:rPr>
      <w:sz w:val="18"/>
      <w:szCs w:val="18"/>
    </w:rPr>
  </w:style>
  <w:style w:type="paragraph" w:styleId="Fuzeile">
    <w:name w:val="footer"/>
    <w:basedOn w:val="Standard"/>
    <w:rsid w:val="00261CC2"/>
    <w:pPr>
      <w:tabs>
        <w:tab w:val="center" w:pos="4536"/>
        <w:tab w:val="right" w:pos="9072"/>
      </w:tabs>
    </w:pPr>
    <w:rPr>
      <w:rFonts w:ascii="Times New Roman" w:hAnsi="Times New Roman"/>
      <w:i/>
      <w:sz w:val="20"/>
      <w:szCs w:val="20"/>
    </w:rPr>
  </w:style>
  <w:style w:type="paragraph" w:customStyle="1" w:styleId="Pressetext">
    <w:name w:val="Pressetext"/>
    <w:basedOn w:val="Standard"/>
    <w:rsid w:val="00634D5D"/>
    <w:pPr>
      <w:tabs>
        <w:tab w:val="left" w:pos="284"/>
        <w:tab w:val="left" w:pos="567"/>
        <w:tab w:val="left" w:pos="851"/>
      </w:tabs>
    </w:pPr>
    <w:rPr>
      <w:rFonts w:eastAsia="Times"/>
      <w:sz w:val="22"/>
      <w:szCs w:val="20"/>
    </w:rPr>
  </w:style>
  <w:style w:type="paragraph" w:customStyle="1" w:styleId="PressetextVorspann">
    <w:name w:val="Pressetext Vorspann"/>
    <w:basedOn w:val="Pressetext"/>
    <w:rsid w:val="00261CC2"/>
    <w:rPr>
      <w:b/>
      <w:sz w:val="20"/>
    </w:rPr>
  </w:style>
  <w:style w:type="paragraph" w:styleId="Kopfzeile">
    <w:name w:val="header"/>
    <w:aliases w:val="Fußzeile Zchn"/>
    <w:basedOn w:val="Standard"/>
    <w:link w:val="KopfzeileZchn"/>
    <w:uiPriority w:val="99"/>
    <w:rsid w:val="000E5B84"/>
    <w:pPr>
      <w:tabs>
        <w:tab w:val="center" w:pos="4536"/>
        <w:tab w:val="right" w:pos="9072"/>
      </w:tabs>
    </w:pPr>
  </w:style>
  <w:style w:type="character" w:styleId="Seitenzahl">
    <w:name w:val="page number"/>
    <w:rsid w:val="000E5B84"/>
    <w:rPr>
      <w:rFonts w:ascii="Arial" w:hAnsi="Arial"/>
      <w:color w:val="auto"/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60994"/>
  </w:style>
  <w:style w:type="character" w:customStyle="1" w:styleId="KommentartextZchn">
    <w:name w:val="Kommentartext Zchn"/>
    <w:link w:val="Kommentartext"/>
    <w:uiPriority w:val="99"/>
    <w:semiHidden/>
    <w:rsid w:val="00060994"/>
    <w:rPr>
      <w:rFonts w:ascii="Arial" w:hAnsi="Arial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60994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060994"/>
    <w:rPr>
      <w:rFonts w:ascii="Arial" w:hAnsi="Arial"/>
      <w:b/>
      <w:bCs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0994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060994"/>
    <w:rPr>
      <w:rFonts w:ascii="Lucida Grande" w:hAnsi="Lucida Grande"/>
      <w:sz w:val="18"/>
      <w:szCs w:val="18"/>
    </w:rPr>
  </w:style>
  <w:style w:type="character" w:customStyle="1" w:styleId="berschrift1Zchn">
    <w:name w:val="Überschrift 1 Zchn"/>
    <w:link w:val="berschrift1"/>
    <w:rsid w:val="00651290"/>
    <w:rPr>
      <w:rFonts w:ascii="Arial" w:eastAsia="Times" w:hAnsi="Arial"/>
      <w:b/>
      <w:kern w:val="32"/>
      <w:sz w:val="32"/>
      <w:szCs w:val="32"/>
    </w:rPr>
  </w:style>
  <w:style w:type="character" w:customStyle="1" w:styleId="berschrift3Zchn">
    <w:name w:val="Überschrift 3 Zchn"/>
    <w:link w:val="berschrift3"/>
    <w:rsid w:val="00651290"/>
    <w:rPr>
      <w:rFonts w:ascii="Arial" w:eastAsia="Times" w:hAnsi="Arial"/>
      <w:b/>
      <w:sz w:val="24"/>
      <w:szCs w:val="26"/>
    </w:rPr>
  </w:style>
  <w:style w:type="paragraph" w:customStyle="1" w:styleId="FarbigeSchattierung-Akzent11">
    <w:name w:val="Farbige Schattierung - Akzent 11"/>
    <w:hidden/>
    <w:uiPriority w:val="99"/>
    <w:semiHidden/>
    <w:rsid w:val="00C56F89"/>
    <w:rPr>
      <w:rFonts w:ascii="Arial" w:hAnsi="Arial"/>
      <w:sz w:val="24"/>
      <w:szCs w:val="24"/>
    </w:rPr>
  </w:style>
  <w:style w:type="character" w:customStyle="1" w:styleId="KopfzeileZchn">
    <w:name w:val="Kopfzeile Zchn"/>
    <w:aliases w:val="Fußzeile Zchn Zchn"/>
    <w:link w:val="Kopfzeile"/>
    <w:uiPriority w:val="99"/>
    <w:rsid w:val="00415DC8"/>
    <w:rPr>
      <w:rFonts w:ascii="Arial" w:hAnsi="Arial"/>
      <w:sz w:val="24"/>
      <w:szCs w:val="24"/>
    </w:rPr>
  </w:style>
  <w:style w:type="character" w:customStyle="1" w:styleId="artgrpdescriptiontextstd">
    <w:name w:val="artgrpdescriptiontextstd"/>
    <w:rsid w:val="00F25A67"/>
  </w:style>
  <w:style w:type="character" w:customStyle="1" w:styleId="artgrpdescriptionheadline1">
    <w:name w:val="artgrpdescriptionheadline1"/>
    <w:basedOn w:val="Absatz-Standardschriftart"/>
    <w:rsid w:val="007C52A3"/>
  </w:style>
  <w:style w:type="character" w:customStyle="1" w:styleId="artgrpdescriptionheadline2">
    <w:name w:val="artgrpdescriptionheadline2"/>
    <w:basedOn w:val="Absatz-Standardschriftart"/>
    <w:rsid w:val="007C52A3"/>
  </w:style>
  <w:style w:type="paragraph" w:styleId="Listenabsatz">
    <w:name w:val="List Paragraph"/>
    <w:basedOn w:val="Standard"/>
    <w:uiPriority w:val="34"/>
    <w:qFormat/>
    <w:rsid w:val="00EB51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6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5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7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8BB19628.dotm</Template>
  <TotalTime>0</TotalTime>
  <Pages>2</Pages>
  <Words>370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Elastisches Sicherungsband für Griffe</vt:lpstr>
    </vt:vector>
  </TitlesOfParts>
  <Manager>Georg Messerschmidt, Stefanie Beck</Manager>
  <Company>Heinrich Kipp Werk KG</Company>
  <LinksUpToDate>false</LinksUpToDate>
  <CharactersWithSpaces>2511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Elastisches Sicherungsband für Griffe</dc:title>
  <dc:subject>Pressemitteilung Sicherungsband Juni 2013</dc:subject>
  <dc:creator>Bernward Damm</dc:creator>
  <cp:keywords>Sicherungsband, Teilesicherung</cp:keywords>
  <cp:lastModifiedBy>WezelHeike</cp:lastModifiedBy>
  <cp:revision>15</cp:revision>
  <cp:lastPrinted>2018-01-25T07:23:00Z</cp:lastPrinted>
  <dcterms:created xsi:type="dcterms:W3CDTF">2018-03-16T08:31:00Z</dcterms:created>
  <dcterms:modified xsi:type="dcterms:W3CDTF">2018-05-14T08:17:00Z</dcterms:modified>
</cp:coreProperties>
</file>